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5F06C">
      <w:pPr>
        <w:pStyle w:val="2"/>
        <w:adjustRightInd w:val="0"/>
        <w:snapToGrid w:val="0"/>
        <w:spacing w:before="156" w:beforeLines="50" w:after="156" w:afterLines="50" w:line="360" w:lineRule="auto"/>
        <w:ind w:left="0" w:leftChars="0" w:right="-57" w:rightChars="-27" w:firstLine="7280" w:firstLineChars="2600"/>
        <w:jc w:val="both"/>
        <w:rPr>
          <w:rFonts w:hint="eastAsia"/>
          <w:b w:val="0"/>
          <w:bCs w:val="0"/>
          <w:color w:val="auto"/>
          <w:sz w:val="28"/>
          <w:szCs w:val="28"/>
          <w:lang w:val="en-US" w:eastAsia="zh-CN"/>
        </w:rPr>
      </w:pPr>
      <w:r>
        <w:rPr>
          <w:rFonts w:hint="eastAsia"/>
          <w:b w:val="0"/>
          <w:bCs w:val="0"/>
          <w:color w:val="auto"/>
          <w:sz w:val="28"/>
          <w:szCs w:val="28"/>
        </w:rPr>
        <w:t>撰稿人：</w:t>
      </w:r>
      <w:r>
        <w:rPr>
          <w:rFonts w:hint="eastAsia"/>
          <w:b w:val="0"/>
          <w:bCs w:val="0"/>
          <w:color w:val="auto"/>
          <w:sz w:val="28"/>
          <w:szCs w:val="28"/>
          <w:lang w:val="en-US" w:eastAsia="zh-CN"/>
        </w:rPr>
        <w:t>张志挺</w:t>
      </w:r>
    </w:p>
    <w:p w14:paraId="5145A6BA">
      <w:pPr>
        <w:pStyle w:val="2"/>
        <w:adjustRightInd w:val="0"/>
        <w:snapToGrid w:val="0"/>
        <w:spacing w:before="156" w:beforeLines="50" w:after="156" w:afterLines="50" w:line="360" w:lineRule="auto"/>
        <w:ind w:left="0" w:leftChars="0" w:right="-57" w:rightChars="-27" w:firstLine="7280" w:firstLineChars="2600"/>
        <w:jc w:val="both"/>
        <w:rPr>
          <w:b w:val="0"/>
          <w:bCs w:val="0"/>
          <w:color w:val="auto"/>
          <w:sz w:val="28"/>
          <w:szCs w:val="28"/>
        </w:rPr>
      </w:pPr>
      <w:r>
        <w:rPr>
          <w:rFonts w:hint="eastAsia"/>
          <w:b w:val="0"/>
          <w:bCs w:val="0"/>
          <w:color w:val="auto"/>
          <w:sz w:val="28"/>
          <w:szCs w:val="28"/>
        </w:rPr>
        <w:t>审稿人：</w:t>
      </w:r>
    </w:p>
    <w:p w14:paraId="1EBFF23B">
      <w:pPr>
        <w:adjustRightInd w:val="0"/>
        <w:snapToGrid w:val="0"/>
        <w:spacing w:before="156" w:beforeLines="50" w:after="156" w:afterLines="50" w:line="360" w:lineRule="auto"/>
        <w:ind w:left="541" w:leftChars="-1" w:right="-57" w:rightChars="-27" w:hanging="543" w:hangingChars="123"/>
        <w:jc w:val="center"/>
        <w:rPr>
          <w:rFonts w:ascii="宋体" w:hAnsi="宋体"/>
          <w:b/>
          <w:bCs/>
          <w:color w:val="auto"/>
          <w:sz w:val="48"/>
          <w:szCs w:val="48"/>
        </w:rPr>
      </w:pPr>
      <w:r>
        <w:rPr>
          <w:rFonts w:hint="eastAsia" w:ascii="宋体" w:hAnsi="宋体"/>
          <w:b/>
          <w:bCs/>
          <w:color w:val="auto"/>
          <w:sz w:val="44"/>
          <w:szCs w:val="44"/>
          <w:lang w:eastAsia="zh-CN"/>
        </w:rPr>
        <w:t>陆河县产业转移工业园区西片区基础配套设施建设临时排水项目（上护片区）</w:t>
      </w:r>
    </w:p>
    <w:p w14:paraId="260ED35A">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用</w:t>
      </w:r>
    </w:p>
    <w:p w14:paraId="230CC75D">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户</w:t>
      </w:r>
    </w:p>
    <w:p w14:paraId="50D8BD16">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需</w:t>
      </w:r>
    </w:p>
    <w:p w14:paraId="2033C3F7">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求</w:t>
      </w:r>
    </w:p>
    <w:p w14:paraId="73DE1294">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书</w:t>
      </w:r>
    </w:p>
    <w:p w14:paraId="5440D529">
      <w:pPr>
        <w:adjustRightInd w:val="0"/>
        <w:snapToGrid w:val="0"/>
        <w:spacing w:before="156" w:beforeLines="50" w:after="156" w:afterLines="50" w:line="360" w:lineRule="auto"/>
        <w:ind w:left="294" w:leftChars="-1" w:right="-57" w:rightChars="-27" w:hanging="296" w:hangingChars="123"/>
        <w:jc w:val="center"/>
        <w:rPr>
          <w:rFonts w:ascii="宋体" w:hAnsi="宋体"/>
          <w:b/>
          <w:bCs/>
          <w:color w:val="auto"/>
          <w:sz w:val="24"/>
        </w:rPr>
      </w:pPr>
    </w:p>
    <w:p w14:paraId="7578A618">
      <w:pPr>
        <w:adjustRightInd w:val="0"/>
        <w:snapToGrid w:val="0"/>
        <w:spacing w:before="156" w:beforeLines="50" w:after="156" w:afterLines="50" w:line="360" w:lineRule="auto"/>
        <w:ind w:left="294" w:leftChars="-1" w:right="-57" w:rightChars="-27" w:hanging="296" w:hangingChars="123"/>
        <w:jc w:val="center"/>
        <w:rPr>
          <w:rFonts w:ascii="宋体" w:hAnsi="宋体"/>
          <w:b/>
          <w:bCs/>
          <w:color w:val="auto"/>
          <w:sz w:val="24"/>
        </w:rPr>
      </w:pPr>
    </w:p>
    <w:p w14:paraId="19535056">
      <w:pPr>
        <w:adjustRightInd w:val="0"/>
        <w:snapToGrid w:val="0"/>
        <w:spacing w:before="156" w:beforeLines="50" w:after="156" w:afterLines="50" w:line="360" w:lineRule="auto"/>
        <w:ind w:left="294" w:leftChars="-1" w:right="-57" w:rightChars="-27" w:hanging="296" w:hangingChars="123"/>
        <w:jc w:val="center"/>
        <w:rPr>
          <w:rFonts w:ascii="宋体" w:hAnsi="宋体"/>
          <w:b/>
          <w:bCs/>
          <w:color w:val="auto"/>
          <w:sz w:val="24"/>
        </w:rPr>
      </w:pPr>
    </w:p>
    <w:p w14:paraId="6D60075A">
      <w:pPr>
        <w:adjustRightInd w:val="0"/>
        <w:snapToGrid w:val="0"/>
        <w:spacing w:before="156" w:beforeLines="50" w:after="156" w:afterLines="50" w:line="360" w:lineRule="auto"/>
        <w:ind w:left="393" w:leftChars="-1" w:right="-57" w:rightChars="-27" w:hanging="395" w:hangingChars="123"/>
        <w:jc w:val="center"/>
        <w:rPr>
          <w:rFonts w:hint="eastAsia" w:ascii="宋体" w:hAnsi="宋体"/>
          <w:b/>
          <w:bCs/>
          <w:color w:val="auto"/>
          <w:sz w:val="32"/>
          <w:szCs w:val="32"/>
        </w:rPr>
      </w:pPr>
    </w:p>
    <w:p w14:paraId="03F58B47">
      <w:pPr>
        <w:adjustRightInd w:val="0"/>
        <w:snapToGrid w:val="0"/>
        <w:spacing w:before="156" w:beforeLines="50" w:after="156" w:afterLines="50" w:line="360" w:lineRule="auto"/>
        <w:ind w:left="393" w:leftChars="-1" w:right="-57" w:rightChars="-27" w:hanging="395" w:hangingChars="123"/>
        <w:jc w:val="center"/>
        <w:rPr>
          <w:rFonts w:hint="eastAsia" w:ascii="宋体" w:hAnsi="宋体"/>
          <w:b/>
          <w:bCs/>
          <w:color w:val="auto"/>
          <w:sz w:val="32"/>
          <w:szCs w:val="32"/>
          <w:lang w:eastAsia="zh-CN"/>
        </w:rPr>
      </w:pPr>
      <w:r>
        <w:rPr>
          <w:rFonts w:hint="eastAsia" w:ascii="宋体" w:hAnsi="宋体"/>
          <w:b/>
          <w:bCs/>
          <w:color w:val="auto"/>
          <w:sz w:val="32"/>
          <w:szCs w:val="32"/>
        </w:rPr>
        <w:t>采购人：</w:t>
      </w:r>
      <w:r>
        <w:rPr>
          <w:rFonts w:hint="eastAsia" w:ascii="宋体" w:hAnsi="宋体"/>
          <w:b/>
          <w:bCs/>
          <w:color w:val="auto"/>
          <w:sz w:val="32"/>
          <w:szCs w:val="32"/>
          <w:lang w:eastAsia="zh-CN"/>
        </w:rPr>
        <w:t>陆河县上护镇人民政府</w:t>
      </w:r>
    </w:p>
    <w:p w14:paraId="505A61D6">
      <w:pPr>
        <w:adjustRightInd w:val="0"/>
        <w:snapToGrid w:val="0"/>
        <w:spacing w:before="156" w:beforeLines="50" w:after="156" w:afterLines="50" w:line="360" w:lineRule="auto"/>
        <w:ind w:left="393" w:leftChars="-1" w:right="-57" w:rightChars="-27" w:hanging="395" w:hangingChars="123"/>
        <w:jc w:val="center"/>
        <w:rPr>
          <w:rFonts w:hint="eastAsia" w:ascii="宋体" w:hAnsi="宋体"/>
          <w:b/>
          <w:bCs/>
          <w:color w:val="auto"/>
          <w:sz w:val="32"/>
          <w:szCs w:val="32"/>
        </w:rPr>
      </w:pPr>
      <w:r>
        <w:rPr>
          <w:rFonts w:hint="eastAsia" w:ascii="宋体" w:hAnsi="宋体"/>
          <w:b/>
          <w:bCs/>
          <w:color w:val="auto"/>
          <w:sz w:val="32"/>
          <w:szCs w:val="32"/>
          <w:lang w:val="en-US" w:eastAsia="zh-CN"/>
        </w:rPr>
        <w:t>日期：</w:t>
      </w:r>
      <w:r>
        <w:rPr>
          <w:rFonts w:hint="eastAsia" w:ascii="宋体" w:hAnsi="宋体"/>
          <w:b/>
          <w:bCs/>
          <w:color w:val="auto"/>
          <w:sz w:val="32"/>
          <w:szCs w:val="32"/>
        </w:rPr>
        <w:t>2025年</w:t>
      </w:r>
      <w:r>
        <w:rPr>
          <w:rFonts w:hint="eastAsia" w:ascii="宋体" w:hAnsi="宋体"/>
          <w:b/>
          <w:bCs/>
          <w:color w:val="auto"/>
          <w:sz w:val="32"/>
          <w:szCs w:val="32"/>
          <w:lang w:val="en-US" w:eastAsia="zh-CN"/>
        </w:rPr>
        <w:t>12</w:t>
      </w:r>
      <w:r>
        <w:rPr>
          <w:rFonts w:hint="eastAsia" w:ascii="宋体" w:hAnsi="宋体"/>
          <w:b/>
          <w:bCs/>
          <w:color w:val="auto"/>
          <w:sz w:val="32"/>
          <w:szCs w:val="32"/>
        </w:rPr>
        <w:t>月</w:t>
      </w:r>
      <w:r>
        <w:rPr>
          <w:rFonts w:hint="eastAsia" w:ascii="宋体" w:hAnsi="宋体"/>
          <w:b/>
          <w:bCs/>
          <w:color w:val="auto"/>
          <w:sz w:val="32"/>
          <w:szCs w:val="32"/>
          <w:lang w:val="en-US" w:eastAsia="zh-CN"/>
        </w:rPr>
        <w:t xml:space="preserve"> </w:t>
      </w:r>
      <w:r>
        <w:rPr>
          <w:rFonts w:hint="eastAsia" w:ascii="宋体" w:hAnsi="宋体"/>
          <w:b/>
          <w:bCs/>
          <w:color w:val="auto"/>
          <w:sz w:val="32"/>
          <w:szCs w:val="32"/>
        </w:rPr>
        <w:t>日</w:t>
      </w:r>
    </w:p>
    <w:p w14:paraId="5591D369">
      <w:pPr>
        <w:adjustRightInd w:val="0"/>
        <w:snapToGrid w:val="0"/>
        <w:spacing w:before="156" w:beforeLines="50" w:after="156" w:afterLines="50" w:line="360" w:lineRule="auto"/>
        <w:ind w:left="443" w:leftChars="-1" w:right="-57" w:rightChars="-27" w:hanging="445" w:hangingChars="123"/>
        <w:jc w:val="center"/>
        <w:rPr>
          <w:b/>
          <w:bCs/>
          <w:color w:val="auto"/>
          <w:sz w:val="36"/>
          <w:szCs w:val="36"/>
        </w:rPr>
      </w:pPr>
      <w:r>
        <w:rPr>
          <w:b/>
          <w:bCs/>
          <w:color w:val="auto"/>
          <w:sz w:val="36"/>
          <w:szCs w:val="36"/>
        </w:rPr>
        <w:br w:type="page"/>
      </w:r>
    </w:p>
    <w:p w14:paraId="7A6CE9D4">
      <w:pPr>
        <w:pStyle w:val="2"/>
        <w:adjustRightInd w:val="0"/>
        <w:snapToGrid w:val="0"/>
        <w:spacing w:before="156" w:beforeLines="50" w:after="156" w:afterLines="50" w:line="360" w:lineRule="auto"/>
        <w:ind w:left="443" w:leftChars="-1" w:right="-57" w:rightChars="-27" w:hanging="445" w:hangingChars="123"/>
        <w:jc w:val="center"/>
        <w:rPr>
          <w:b w:val="0"/>
          <w:bCs w:val="0"/>
          <w:color w:val="auto"/>
          <w:sz w:val="36"/>
          <w:szCs w:val="36"/>
        </w:rPr>
      </w:pPr>
      <w:bookmarkStart w:id="0" w:name="_Toc305832997"/>
      <w:r>
        <w:rPr>
          <w:rFonts w:hint="eastAsia"/>
          <w:color w:val="auto"/>
          <w:sz w:val="36"/>
          <w:szCs w:val="36"/>
        </w:rPr>
        <w:t>用户需求书</w:t>
      </w:r>
    </w:p>
    <w:p w14:paraId="1CB5CA8F">
      <w:pPr>
        <w:pStyle w:val="18"/>
        <w:numPr>
          <w:ilvl w:val="0"/>
          <w:numId w:val="0"/>
        </w:numPr>
        <w:autoSpaceDE w:val="0"/>
        <w:autoSpaceDN w:val="0"/>
        <w:spacing w:line="360" w:lineRule="auto"/>
        <w:jc w:val="left"/>
        <w:outlineLvl w:val="1"/>
        <w:rPr>
          <w:b/>
          <w:color w:val="auto"/>
          <w:sz w:val="24"/>
          <w:szCs w:val="24"/>
        </w:rPr>
      </w:pPr>
      <w:r>
        <w:rPr>
          <w:rFonts w:hint="eastAsia"/>
          <w:b/>
          <w:color w:val="auto"/>
          <w:sz w:val="24"/>
          <w:szCs w:val="24"/>
          <w:lang w:eastAsia="zh-CN"/>
        </w:rPr>
        <w:t>一</w:t>
      </w:r>
      <w:r>
        <w:rPr>
          <w:b/>
          <w:color w:val="auto"/>
          <w:sz w:val="24"/>
          <w:szCs w:val="24"/>
          <w:lang w:eastAsia="zh-CN"/>
        </w:rPr>
        <w:t>、</w:t>
      </w:r>
      <w:bookmarkEnd w:id="0"/>
      <w:r>
        <w:rPr>
          <w:rFonts w:hint="eastAsia"/>
          <w:b/>
          <w:color w:val="auto"/>
          <w:sz w:val="24"/>
          <w:szCs w:val="24"/>
        </w:rPr>
        <w:t>项目概况</w:t>
      </w:r>
    </w:p>
    <w:p w14:paraId="56ECD44E">
      <w:pPr>
        <w:spacing w:line="360" w:lineRule="auto"/>
        <w:ind w:firstLine="420" w:firstLineChars="200"/>
        <w:rPr>
          <w:rFonts w:hint="eastAsia" w:ascii="宋体" w:hAnsi="宋体" w:eastAsia="宋体" w:cs="宋体"/>
          <w:b w:val="0"/>
          <w:bCs w:val="0"/>
          <w:i w:val="0"/>
          <w:iCs w:val="0"/>
          <w:caps w:val="0"/>
          <w:color w:val="auto"/>
          <w:spacing w:val="0"/>
          <w:sz w:val="21"/>
          <w:szCs w:val="21"/>
          <w:u w:val="none"/>
          <w:shd w:val="clear" w:color="auto" w:fill="auto"/>
        </w:rPr>
      </w:pPr>
      <w:r>
        <w:rPr>
          <w:rFonts w:hint="eastAsia" w:ascii="宋体" w:hAnsi="宋体"/>
          <w:color w:val="auto"/>
          <w:sz w:val="21"/>
          <w:szCs w:val="21"/>
        </w:rPr>
        <w:t>1</w:t>
      </w:r>
      <w:r>
        <w:rPr>
          <w:rFonts w:hint="eastAsia" w:ascii="宋体" w:hAnsi="宋体"/>
          <w:color w:val="auto"/>
          <w:sz w:val="21"/>
          <w:szCs w:val="21"/>
          <w:lang w:eastAsia="zh-CN"/>
        </w:rPr>
        <w:t>、</w:t>
      </w:r>
      <w:r>
        <w:rPr>
          <w:rFonts w:ascii="宋体" w:hAnsi="宋体"/>
          <w:color w:val="auto"/>
          <w:sz w:val="21"/>
          <w:szCs w:val="21"/>
        </w:rPr>
        <w:t>项目名称：</w:t>
      </w:r>
      <w:r>
        <w:rPr>
          <w:rFonts w:hint="eastAsia" w:ascii="宋体" w:hAnsi="宋体" w:eastAsia="宋体" w:cs="宋体"/>
          <w:b w:val="0"/>
          <w:bCs w:val="0"/>
          <w:i w:val="0"/>
          <w:iCs w:val="0"/>
          <w:caps w:val="0"/>
          <w:color w:val="auto"/>
          <w:spacing w:val="0"/>
          <w:sz w:val="21"/>
          <w:szCs w:val="21"/>
          <w:u w:val="none"/>
          <w:shd w:val="clear" w:color="auto" w:fill="auto"/>
        </w:rPr>
        <w:t>陆河县产业转移工业园区西片区基础配套设施建设临时排水项目（上护片区）</w:t>
      </w:r>
    </w:p>
    <w:p w14:paraId="35C09121">
      <w:pPr>
        <w:spacing w:line="360" w:lineRule="auto"/>
        <w:ind w:firstLine="420" w:firstLineChars="200"/>
        <w:rPr>
          <w:rFonts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eastAsia="zh-CN"/>
        </w:rPr>
        <w:t>、</w:t>
      </w:r>
      <w:r>
        <w:rPr>
          <w:rFonts w:ascii="宋体" w:hAnsi="宋体"/>
          <w:color w:val="auto"/>
          <w:sz w:val="21"/>
          <w:szCs w:val="21"/>
        </w:rPr>
        <w:t>采购人名称：</w:t>
      </w:r>
      <w:r>
        <w:rPr>
          <w:rFonts w:hint="eastAsia" w:ascii="宋体" w:hAnsi="宋体"/>
          <w:color w:val="auto"/>
          <w:sz w:val="21"/>
          <w:szCs w:val="21"/>
          <w:lang w:val="en-US" w:eastAsia="zh-CN"/>
        </w:rPr>
        <w:t>陆河县上护镇人民政府</w:t>
      </w:r>
    </w:p>
    <w:p w14:paraId="0E8AB1C3">
      <w:pPr>
        <w:spacing w:line="360" w:lineRule="auto"/>
        <w:ind w:firstLine="420" w:firstLineChars="200"/>
        <w:rPr>
          <w:rFonts w:ascii="宋体" w:hAnsi="宋体"/>
          <w:color w:val="auto"/>
          <w:sz w:val="21"/>
          <w:szCs w:val="21"/>
          <w:highlight w:val="darkYellow"/>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highlight w:val="none"/>
        </w:rPr>
        <w:t>项目概况：</w:t>
      </w:r>
      <w:r>
        <w:rPr>
          <w:rFonts w:hint="eastAsia" w:ascii="宋体" w:hAnsi="宋体"/>
          <w:color w:val="auto"/>
          <w:sz w:val="21"/>
          <w:szCs w:val="21"/>
          <w:highlight w:val="none"/>
          <w:lang w:val="en-US" w:eastAsia="zh-CN"/>
        </w:rPr>
        <w:t>本项目陆河县产业转移工业园区西片区基础配套设施建设临时排水项目（上护片区），主要工程内容包括：排水管敷设、砌筑井等。（详见项目清单）</w:t>
      </w:r>
    </w:p>
    <w:p w14:paraId="3001F143">
      <w:pPr>
        <w:numPr>
          <w:ilvl w:val="0"/>
          <w:numId w:val="0"/>
        </w:numPr>
        <w:spacing w:line="360" w:lineRule="auto"/>
        <w:ind w:left="870" w:leftChars="200" w:hanging="450"/>
        <w:outlineLvl w:val="1"/>
        <w:rPr>
          <w:rFonts w:hint="default" w:ascii="宋体" w:hAnsi="宋体" w:eastAsia="宋体"/>
          <w:color w:val="auto"/>
          <w:sz w:val="21"/>
          <w:szCs w:val="21"/>
          <w:highlight w:val="none"/>
          <w:lang w:val="en-US" w:eastAsia="zh-CN"/>
        </w:rPr>
      </w:pPr>
      <w:r>
        <w:rPr>
          <w:rFonts w:ascii="宋体" w:hAnsi="宋体"/>
          <w:color w:val="auto"/>
          <w:sz w:val="21"/>
          <w:szCs w:val="21"/>
          <w:highlight w:val="none"/>
          <w:lang w:val="zh-TW"/>
        </w:rPr>
        <w:t>4</w:t>
      </w:r>
      <w:r>
        <w:rPr>
          <w:rFonts w:hint="eastAsia" w:ascii="宋体" w:hAnsi="宋体"/>
          <w:color w:val="auto"/>
          <w:sz w:val="21"/>
          <w:szCs w:val="21"/>
          <w:highlight w:val="none"/>
          <w:lang w:val="zh-TW" w:eastAsia="zh-CN"/>
        </w:rPr>
        <w:t>、</w:t>
      </w:r>
      <w:r>
        <w:rPr>
          <w:rFonts w:hint="eastAsia" w:ascii="宋体" w:hAnsi="宋体"/>
          <w:color w:val="auto"/>
          <w:sz w:val="21"/>
          <w:szCs w:val="21"/>
          <w:highlight w:val="none"/>
          <w:lang w:val="zh-TW"/>
        </w:rPr>
        <w:t>项目</w:t>
      </w:r>
      <w:r>
        <w:rPr>
          <w:rFonts w:hint="eastAsia" w:ascii="宋体" w:hAnsi="宋体"/>
          <w:color w:val="auto"/>
          <w:sz w:val="21"/>
          <w:szCs w:val="21"/>
          <w:highlight w:val="none"/>
          <w:lang w:val="zh-TW" w:eastAsia="zh-TW"/>
        </w:rPr>
        <w:t>地点：</w:t>
      </w:r>
      <w:r>
        <w:rPr>
          <w:rFonts w:hint="eastAsia" w:ascii="宋体" w:hAnsi="宋体"/>
          <w:color w:val="auto"/>
          <w:sz w:val="21"/>
          <w:szCs w:val="21"/>
          <w:highlight w:val="none"/>
          <w:lang w:val="en-US" w:eastAsia="zh-CN"/>
        </w:rPr>
        <w:t>采购人指定地点</w:t>
      </w:r>
    </w:p>
    <w:p w14:paraId="39090DA0">
      <w:pPr>
        <w:numPr>
          <w:ilvl w:val="0"/>
          <w:numId w:val="0"/>
        </w:numPr>
        <w:spacing w:line="360" w:lineRule="auto"/>
        <w:ind w:left="870" w:leftChars="200" w:hanging="450"/>
        <w:outlineLvl w:val="1"/>
        <w:rPr>
          <w:color w:val="auto"/>
          <w:sz w:val="21"/>
          <w:szCs w:val="21"/>
          <w:highlight w:val="none"/>
        </w:rPr>
      </w:pPr>
      <w:r>
        <w:rPr>
          <w:rFonts w:hint="eastAsia" w:ascii="宋体" w:hAnsi="宋体"/>
          <w:color w:val="auto"/>
          <w:sz w:val="21"/>
          <w:szCs w:val="21"/>
          <w:highlight w:val="none"/>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质量要求：符合国家、广东省、汕尾市及陆河县现行的相关质量标准。</w:t>
      </w:r>
    </w:p>
    <w:p w14:paraId="49562D16">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二、</w:t>
      </w:r>
      <w:r>
        <w:rPr>
          <w:rFonts w:hint="eastAsia"/>
          <w:b/>
          <w:color w:val="auto"/>
          <w:sz w:val="24"/>
          <w:szCs w:val="24"/>
        </w:rPr>
        <w:t>项目内容</w:t>
      </w:r>
    </w:p>
    <w:tbl>
      <w:tblPr>
        <w:tblStyle w:val="11"/>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2366"/>
        <w:gridCol w:w="1454"/>
        <w:gridCol w:w="1542"/>
      </w:tblGrid>
      <w:tr w14:paraId="7266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3895" w:type="dxa"/>
            <w:shd w:val="pct10" w:color="auto" w:fill="auto"/>
            <w:noWrap w:val="0"/>
            <w:vAlign w:val="center"/>
          </w:tcPr>
          <w:p w14:paraId="799F5E6C">
            <w:pPr>
              <w:spacing w:line="360" w:lineRule="auto"/>
              <w:jc w:val="center"/>
              <w:rPr>
                <w:rFonts w:ascii="宋体" w:hAnsi="宋体"/>
                <w:b/>
                <w:color w:val="auto"/>
                <w:sz w:val="21"/>
                <w:szCs w:val="21"/>
              </w:rPr>
            </w:pPr>
            <w:bookmarkStart w:id="1" w:name="_Toc304381792"/>
            <w:bookmarkStart w:id="2" w:name="_Toc305833008"/>
            <w:r>
              <w:rPr>
                <w:rFonts w:hint="eastAsia" w:ascii="宋体" w:hAnsi="宋体"/>
                <w:b/>
                <w:color w:val="auto"/>
                <w:sz w:val="21"/>
                <w:szCs w:val="21"/>
              </w:rPr>
              <w:t>采购内容</w:t>
            </w:r>
          </w:p>
        </w:tc>
        <w:tc>
          <w:tcPr>
            <w:tcW w:w="2366" w:type="dxa"/>
            <w:shd w:val="pct10" w:color="auto" w:fill="auto"/>
            <w:noWrap w:val="0"/>
            <w:vAlign w:val="center"/>
          </w:tcPr>
          <w:p w14:paraId="6891C35B">
            <w:pPr>
              <w:spacing w:line="360" w:lineRule="auto"/>
              <w:jc w:val="center"/>
              <w:rPr>
                <w:rFonts w:ascii="宋体" w:hAnsi="宋体"/>
                <w:b/>
                <w:color w:val="auto"/>
                <w:sz w:val="21"/>
                <w:szCs w:val="21"/>
              </w:rPr>
            </w:pPr>
            <w:r>
              <w:rPr>
                <w:rFonts w:hint="eastAsia" w:ascii="宋体" w:hAnsi="宋体"/>
                <w:b/>
                <w:color w:val="auto"/>
                <w:sz w:val="21"/>
                <w:szCs w:val="21"/>
              </w:rPr>
              <w:t>预算金额（即最高限价）</w:t>
            </w:r>
          </w:p>
        </w:tc>
        <w:tc>
          <w:tcPr>
            <w:tcW w:w="1454" w:type="dxa"/>
            <w:shd w:val="pct10" w:color="auto" w:fill="auto"/>
            <w:noWrap w:val="0"/>
            <w:vAlign w:val="center"/>
          </w:tcPr>
          <w:p w14:paraId="2E246324">
            <w:pPr>
              <w:spacing w:line="360" w:lineRule="auto"/>
              <w:jc w:val="center"/>
              <w:rPr>
                <w:rFonts w:ascii="宋体" w:hAnsi="宋体"/>
                <w:b/>
                <w:color w:val="auto"/>
                <w:sz w:val="21"/>
                <w:szCs w:val="21"/>
              </w:rPr>
            </w:pPr>
            <w:r>
              <w:rPr>
                <w:rFonts w:hint="eastAsia" w:ascii="宋体" w:hAnsi="宋体"/>
                <w:b/>
                <w:color w:val="auto"/>
                <w:sz w:val="21"/>
                <w:szCs w:val="21"/>
              </w:rPr>
              <w:t>工期</w:t>
            </w:r>
          </w:p>
        </w:tc>
        <w:tc>
          <w:tcPr>
            <w:tcW w:w="1542" w:type="dxa"/>
            <w:shd w:val="pct10" w:color="auto" w:fill="auto"/>
            <w:noWrap w:val="0"/>
            <w:vAlign w:val="center"/>
          </w:tcPr>
          <w:p w14:paraId="624BE41A">
            <w:pPr>
              <w:spacing w:line="360" w:lineRule="auto"/>
              <w:jc w:val="center"/>
              <w:rPr>
                <w:rFonts w:ascii="宋体" w:hAnsi="宋体"/>
                <w:b/>
                <w:color w:val="auto"/>
                <w:sz w:val="21"/>
                <w:szCs w:val="21"/>
              </w:rPr>
            </w:pPr>
            <w:r>
              <w:rPr>
                <w:rFonts w:hint="eastAsia" w:ascii="宋体" w:hAnsi="宋体"/>
                <w:b/>
                <w:color w:val="auto"/>
                <w:sz w:val="21"/>
                <w:szCs w:val="21"/>
              </w:rPr>
              <w:t>成交供应商数量</w:t>
            </w:r>
          </w:p>
        </w:tc>
      </w:tr>
      <w:tr w14:paraId="07BD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895" w:type="dxa"/>
            <w:noWrap w:val="0"/>
            <w:vAlign w:val="center"/>
          </w:tcPr>
          <w:p w14:paraId="4E2B2766">
            <w:pPr>
              <w:spacing w:line="360" w:lineRule="auto"/>
              <w:jc w:val="center"/>
              <w:rPr>
                <w:rFonts w:ascii="宋体" w:hAnsi="宋体"/>
                <w:color w:val="auto"/>
                <w:sz w:val="21"/>
                <w:szCs w:val="21"/>
              </w:rPr>
            </w:pPr>
            <w:r>
              <w:rPr>
                <w:rFonts w:hint="eastAsia" w:ascii="宋体" w:hAnsi="宋体" w:eastAsia="宋体" w:cs="宋体"/>
                <w:b w:val="0"/>
                <w:bCs w:val="0"/>
                <w:i w:val="0"/>
                <w:iCs w:val="0"/>
                <w:caps w:val="0"/>
                <w:color w:val="auto"/>
                <w:spacing w:val="0"/>
                <w:sz w:val="21"/>
                <w:szCs w:val="21"/>
                <w:u w:val="none"/>
                <w:shd w:val="clear" w:color="auto" w:fill="auto"/>
              </w:rPr>
              <w:t>陆河县产业转移工业园区西片区基础配套设施建设临时排水项目（上护片区）</w:t>
            </w:r>
          </w:p>
        </w:tc>
        <w:tc>
          <w:tcPr>
            <w:tcW w:w="2366" w:type="dxa"/>
            <w:noWrap w:val="0"/>
            <w:vAlign w:val="center"/>
          </w:tcPr>
          <w:p w14:paraId="77A8055B">
            <w:pPr>
              <w:spacing w:line="360" w:lineRule="auto"/>
              <w:jc w:val="center"/>
              <w:rPr>
                <w:rFonts w:ascii="宋体" w:hAnsi="宋体"/>
                <w:color w:val="auto"/>
                <w:sz w:val="21"/>
                <w:szCs w:val="21"/>
              </w:rPr>
            </w:pPr>
            <w:r>
              <w:rPr>
                <w:rFonts w:hint="eastAsia" w:ascii="宋体" w:hAnsi="宋体"/>
                <w:color w:val="auto"/>
                <w:sz w:val="21"/>
                <w:szCs w:val="21"/>
              </w:rPr>
              <w:t>人民币</w:t>
            </w:r>
            <w:r>
              <w:rPr>
                <w:rFonts w:hint="eastAsia" w:ascii="宋体" w:hAnsi="宋体" w:cs="宋体"/>
                <w:color w:val="auto"/>
                <w:sz w:val="21"/>
                <w:szCs w:val="21"/>
                <w:lang w:val="en-US" w:eastAsia="zh-CN"/>
              </w:rPr>
              <w:t>271847.47</w:t>
            </w:r>
            <w:r>
              <w:rPr>
                <w:rFonts w:hint="eastAsia" w:ascii="宋体" w:hAnsi="宋体"/>
                <w:color w:val="auto"/>
                <w:sz w:val="21"/>
                <w:szCs w:val="21"/>
              </w:rPr>
              <w:t>元</w:t>
            </w:r>
          </w:p>
        </w:tc>
        <w:tc>
          <w:tcPr>
            <w:tcW w:w="1454" w:type="dxa"/>
            <w:noWrap w:val="0"/>
            <w:vAlign w:val="center"/>
          </w:tcPr>
          <w:p w14:paraId="0B82FB57">
            <w:pPr>
              <w:spacing w:line="360" w:lineRule="auto"/>
              <w:jc w:val="center"/>
              <w:rPr>
                <w:rFonts w:ascii="宋体" w:hAnsi="宋体"/>
                <w:color w:val="auto"/>
                <w:sz w:val="21"/>
                <w:szCs w:val="21"/>
              </w:rPr>
            </w:pPr>
            <w:r>
              <w:rPr>
                <w:rFonts w:hint="eastAsia" w:ascii="宋体" w:hAnsi="宋体"/>
                <w:color w:val="auto"/>
                <w:sz w:val="21"/>
                <w:szCs w:val="21"/>
                <w:lang w:val="en-US" w:eastAsia="zh-CN"/>
              </w:rPr>
              <w:t>20日历天</w:t>
            </w:r>
          </w:p>
        </w:tc>
        <w:tc>
          <w:tcPr>
            <w:tcW w:w="1542" w:type="dxa"/>
            <w:noWrap w:val="0"/>
            <w:vAlign w:val="center"/>
          </w:tcPr>
          <w:p w14:paraId="78B4ED4F">
            <w:pPr>
              <w:spacing w:line="360" w:lineRule="auto"/>
              <w:jc w:val="center"/>
              <w:rPr>
                <w:rFonts w:ascii="宋体" w:hAnsi="宋体"/>
                <w:color w:val="auto"/>
                <w:sz w:val="21"/>
                <w:szCs w:val="21"/>
              </w:rPr>
            </w:pPr>
            <w:r>
              <w:rPr>
                <w:rFonts w:hint="eastAsia" w:ascii="宋体" w:hAnsi="宋体"/>
                <w:color w:val="auto"/>
                <w:sz w:val="21"/>
                <w:szCs w:val="21"/>
              </w:rPr>
              <w:t>1家</w:t>
            </w:r>
          </w:p>
        </w:tc>
      </w:tr>
      <w:bookmarkEnd w:id="1"/>
      <w:bookmarkEnd w:id="2"/>
    </w:tbl>
    <w:p w14:paraId="665C095A">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三、</w:t>
      </w:r>
      <w:r>
        <w:rPr>
          <w:rFonts w:hint="eastAsia"/>
          <w:b/>
          <w:color w:val="auto"/>
          <w:sz w:val="24"/>
          <w:szCs w:val="24"/>
        </w:rPr>
        <w:t>项目清单</w:t>
      </w:r>
    </w:p>
    <w:p w14:paraId="465759FB">
      <w:pPr>
        <w:pStyle w:val="18"/>
        <w:numPr>
          <w:ilvl w:val="0"/>
          <w:numId w:val="0"/>
        </w:numPr>
        <w:autoSpaceDE w:val="0"/>
        <w:autoSpaceDN w:val="0"/>
        <w:spacing w:line="360" w:lineRule="auto"/>
        <w:ind w:firstLine="420" w:firstLineChars="200"/>
        <w:jc w:val="left"/>
        <w:outlineLvl w:val="1"/>
        <w:rPr>
          <w:rFonts w:hint="default"/>
          <w:color w:val="auto"/>
          <w:sz w:val="21"/>
          <w:szCs w:val="21"/>
          <w:lang w:val="en-US" w:eastAsia="zh-CN"/>
        </w:rPr>
      </w:pPr>
      <w:r>
        <w:rPr>
          <w:color w:val="auto"/>
          <w:sz w:val="21"/>
          <w:szCs w:val="21"/>
        </w:rPr>
        <w:t>详见</w:t>
      </w:r>
      <w:r>
        <w:rPr>
          <w:rFonts w:hint="eastAsia"/>
          <w:color w:val="auto"/>
          <w:sz w:val="21"/>
          <w:szCs w:val="21"/>
          <w:lang w:val="en-US" w:eastAsia="zh-CN"/>
        </w:rPr>
        <w:t>市场询价公告附件</w:t>
      </w:r>
      <w:bookmarkStart w:id="5" w:name="_GoBack"/>
      <w:bookmarkEnd w:id="5"/>
      <w:r>
        <w:rPr>
          <w:rFonts w:hint="eastAsia"/>
          <w:color w:val="auto"/>
          <w:sz w:val="21"/>
          <w:szCs w:val="21"/>
          <w:lang w:val="en-US" w:eastAsia="zh-CN"/>
        </w:rPr>
        <w:t>《陆河县产业转移工业园区西片区基础配套设施建设临时排水项目（上护片区）清单</w:t>
      </w:r>
      <w:r>
        <w:rPr>
          <w:rFonts w:hint="eastAsia"/>
          <w:color w:val="auto"/>
          <w:sz w:val="21"/>
          <w:szCs w:val="21"/>
          <w:lang w:val="en-US" w:eastAsia="zh-CN"/>
        </w:rPr>
        <w:t>》</w:t>
      </w:r>
    </w:p>
    <w:p w14:paraId="5E50B613">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四、</w:t>
      </w:r>
      <w:r>
        <w:rPr>
          <w:rFonts w:hint="eastAsia"/>
          <w:b/>
          <w:color w:val="auto"/>
          <w:sz w:val="24"/>
          <w:szCs w:val="24"/>
        </w:rPr>
        <w:t>项目范围</w:t>
      </w:r>
    </w:p>
    <w:p w14:paraId="384C226C">
      <w:pPr>
        <w:pStyle w:val="18"/>
        <w:numPr>
          <w:ilvl w:val="0"/>
          <w:numId w:val="0"/>
        </w:numPr>
        <w:autoSpaceDE w:val="0"/>
        <w:autoSpaceDN w:val="0"/>
        <w:spacing w:line="360" w:lineRule="auto"/>
        <w:ind w:firstLine="420" w:firstLineChars="200"/>
        <w:jc w:val="left"/>
        <w:outlineLvl w:val="1"/>
        <w:rPr>
          <w:b/>
          <w:color w:val="auto"/>
          <w:sz w:val="21"/>
          <w:szCs w:val="21"/>
          <w:highlight w:val="none"/>
        </w:rPr>
      </w:pPr>
      <w:r>
        <w:rPr>
          <w:rFonts w:hint="eastAsia" w:ascii="宋体" w:hAnsi="宋体"/>
          <w:color w:val="auto"/>
          <w:sz w:val="21"/>
          <w:szCs w:val="21"/>
          <w:highlight w:val="none"/>
          <w:lang w:val="en-US" w:eastAsia="zh-CN"/>
        </w:rPr>
        <w:t>本项目位于陆河县产业转移工业园区西片区</w:t>
      </w:r>
      <w:r>
        <w:rPr>
          <w:rFonts w:hint="eastAsia"/>
          <w:color w:val="auto"/>
          <w:sz w:val="21"/>
          <w:szCs w:val="21"/>
          <w:highlight w:val="none"/>
          <w:lang w:val="en-US" w:eastAsia="zh-CN"/>
        </w:rPr>
        <w:t>内</w:t>
      </w:r>
      <w:r>
        <w:rPr>
          <w:rFonts w:hint="eastAsia" w:ascii="宋体" w:hAnsi="宋体"/>
          <w:color w:val="auto"/>
          <w:sz w:val="21"/>
          <w:szCs w:val="21"/>
          <w:highlight w:val="none"/>
          <w:lang w:val="en-US" w:eastAsia="zh-CN"/>
        </w:rPr>
        <w:t>。（详见项目清单）</w:t>
      </w:r>
    </w:p>
    <w:p w14:paraId="20CF42C9">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五、</w:t>
      </w:r>
      <w:r>
        <w:rPr>
          <w:rFonts w:hint="eastAsia"/>
          <w:b/>
          <w:color w:val="auto"/>
          <w:sz w:val="24"/>
          <w:szCs w:val="24"/>
        </w:rPr>
        <w:t>质量要求</w:t>
      </w:r>
    </w:p>
    <w:p w14:paraId="6079BB11">
      <w:pPr>
        <w:pStyle w:val="15"/>
        <w:spacing w:line="360" w:lineRule="auto"/>
        <w:ind w:firstLine="420" w:firstLineChars="200"/>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eastAsia="zh-CN"/>
        </w:rPr>
        <w:t>、</w:t>
      </w:r>
      <w:r>
        <w:rPr>
          <w:rFonts w:hint="eastAsia" w:ascii="宋体" w:hAnsi="宋体"/>
          <w:color w:val="auto"/>
          <w:sz w:val="21"/>
          <w:szCs w:val="21"/>
        </w:rPr>
        <w:t>成交供应商必须保证在项目实施时配置稳定的管理队伍和作业人员。须配备满足本项目所需的一切施工机械、工具等。</w:t>
      </w:r>
    </w:p>
    <w:p w14:paraId="368C6BEC">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rPr>
        <w:t>工作人员须配备安全制服、反光衣，做好工作人员的自身安全防护工作。根据工作要求储备抢险安全警示标志、安全护栏、配备施工作业车辆、作业机械等。</w:t>
      </w:r>
    </w:p>
    <w:p w14:paraId="118BFABC">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根据采购人要求做好工程的施工，确保安全、规范、按质按量施工，做好施工组织设计，并根据监理要求开展施工。实施过程中做好签证、图纸和结算材料，积极配合采购人开展财政结算评审工作。</w:t>
      </w:r>
    </w:p>
    <w:p w14:paraId="5EB243CF">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eastAsia="zh-CN"/>
        </w:rPr>
        <w:t>、</w:t>
      </w:r>
      <w:r>
        <w:rPr>
          <w:rFonts w:hint="eastAsia" w:ascii="宋体" w:hAnsi="宋体"/>
          <w:color w:val="auto"/>
          <w:sz w:val="21"/>
          <w:szCs w:val="21"/>
        </w:rPr>
        <w:t>项目实施期间内发生的各种事故，包括质量、安全、治安、交通、防火等安全案件和出现劳资纠纷事件等，均由成交供应商承担相应责任。</w:t>
      </w:r>
    </w:p>
    <w:p w14:paraId="759DCE15">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eastAsia="zh-CN"/>
        </w:rPr>
        <w:t>、</w:t>
      </w:r>
      <w:r>
        <w:rPr>
          <w:rFonts w:hint="eastAsia" w:ascii="宋体" w:hAnsi="宋体"/>
          <w:color w:val="auto"/>
          <w:sz w:val="21"/>
          <w:szCs w:val="21"/>
        </w:rPr>
        <w:t>机械操作人员要求：操作机械设备设施的作业人员需经正规培训并有相应的有效资格证，作业过程应按标准操作规范进行安全作业，禁止无证作业。由于设备操作人员操作不当，造成生命或财产损失的，造成的损失由成交供应商承担。</w:t>
      </w:r>
    </w:p>
    <w:p w14:paraId="01023CFF">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eastAsia="zh-CN"/>
        </w:rPr>
        <w:t>、</w:t>
      </w:r>
      <w:r>
        <w:rPr>
          <w:rFonts w:hint="eastAsia" w:ascii="宋体" w:hAnsi="宋体"/>
          <w:color w:val="auto"/>
          <w:sz w:val="21"/>
          <w:szCs w:val="21"/>
        </w:rPr>
        <w:t>质量标准</w:t>
      </w:r>
    </w:p>
    <w:p w14:paraId="30B6D4E6">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①本工程质量管理要求严格按照现行《建设工程质量管理条例》执行，验收标准按国家颁发的技术规范及相应的分项工程施工质量验收规范执行。工程质量等级为合格。</w:t>
      </w:r>
    </w:p>
    <w:p w14:paraId="4C2743C8">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②成交供应商在施工中如果工程质量不符合要求和有关规定，采购人要求停工和返工时，成交供应商必须立即执行，并承担由此产生的各种费用，工期不予顺延。</w:t>
      </w:r>
    </w:p>
    <w:p w14:paraId="79F67808">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六、</w:t>
      </w:r>
      <w:r>
        <w:rPr>
          <w:rFonts w:hint="eastAsia"/>
          <w:b/>
          <w:color w:val="auto"/>
          <w:sz w:val="24"/>
          <w:szCs w:val="24"/>
        </w:rPr>
        <w:t>安全生产</w:t>
      </w:r>
    </w:p>
    <w:p w14:paraId="7FAD918E">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eastAsia="zh-CN"/>
        </w:rPr>
        <w:t>、</w:t>
      </w:r>
      <w:r>
        <w:rPr>
          <w:rFonts w:hint="eastAsia" w:ascii="宋体" w:hAnsi="宋体"/>
          <w:color w:val="auto"/>
          <w:sz w:val="21"/>
          <w:szCs w:val="21"/>
        </w:rPr>
        <w:t>严格遵守《中华人民共和国安全生产法》、《建设工程安全生产管理条例》以及文明施工、夜间施工、环保等规定，建立规章制度和防护措施。</w:t>
      </w:r>
    </w:p>
    <w:p w14:paraId="77345869">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rPr>
        <w:t>施工作业安全保护设施必须齐全。不允许穿拖鞋进行作业。</w:t>
      </w:r>
    </w:p>
    <w:p w14:paraId="5534142B">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机械操作人员必须持证上岗，机械设备状态必须良好。作业车辆在公路上必须遵守交通安全管理的规定，不得违章驾驶或违章停放。</w:t>
      </w:r>
    </w:p>
    <w:p w14:paraId="718DC845">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eastAsia="zh-CN"/>
        </w:rPr>
        <w:t>、</w:t>
      </w:r>
      <w:r>
        <w:rPr>
          <w:rFonts w:hint="eastAsia" w:ascii="宋体" w:hAnsi="宋体"/>
          <w:color w:val="auto"/>
          <w:sz w:val="21"/>
          <w:szCs w:val="21"/>
        </w:rPr>
        <w:t>作业的机械设备、器材、工具、材料、废料等物资应放置在封闭区域内。清洁完工后必须马上清理现场，恢复正常，严禁将设备、器材、工具、剩余材料和废料等物资存留在路面上。</w:t>
      </w:r>
    </w:p>
    <w:p w14:paraId="0B43402E">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eastAsia="zh-CN"/>
        </w:rPr>
        <w:t>、</w:t>
      </w:r>
      <w:r>
        <w:rPr>
          <w:rFonts w:hint="eastAsia" w:ascii="宋体" w:hAnsi="宋体"/>
          <w:color w:val="auto"/>
          <w:sz w:val="21"/>
          <w:szCs w:val="21"/>
        </w:rPr>
        <w:t>夜间作业，现场必须有足够照明，按照规定设置安全标志。</w:t>
      </w:r>
    </w:p>
    <w:p w14:paraId="48D6CE2B">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eastAsia="zh-CN"/>
        </w:rPr>
        <w:t>、</w:t>
      </w:r>
      <w:r>
        <w:rPr>
          <w:rFonts w:hint="eastAsia" w:ascii="宋体" w:hAnsi="宋体"/>
          <w:color w:val="auto"/>
          <w:sz w:val="21"/>
          <w:szCs w:val="21"/>
        </w:rPr>
        <w:t>作业需要使用特殊作业机械或需要用电的，必须由专业人员进行操作，确保作业安全。</w:t>
      </w:r>
    </w:p>
    <w:p w14:paraId="118E175E">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7</w:t>
      </w:r>
      <w:r>
        <w:rPr>
          <w:rFonts w:hint="eastAsia" w:ascii="宋体" w:hAnsi="宋体"/>
          <w:color w:val="auto"/>
          <w:sz w:val="21"/>
          <w:szCs w:val="21"/>
          <w:lang w:eastAsia="zh-CN"/>
        </w:rPr>
        <w:t>、</w:t>
      </w:r>
      <w:r>
        <w:rPr>
          <w:rFonts w:hint="eastAsia" w:ascii="宋体" w:hAnsi="宋体"/>
          <w:color w:val="auto"/>
          <w:sz w:val="21"/>
          <w:szCs w:val="21"/>
          <w:lang w:val="en-US" w:eastAsia="zh-CN"/>
        </w:rPr>
        <w:t>成交</w:t>
      </w:r>
      <w:r>
        <w:rPr>
          <w:rFonts w:hint="eastAsia" w:ascii="宋体" w:hAnsi="宋体"/>
          <w:color w:val="auto"/>
          <w:sz w:val="21"/>
          <w:szCs w:val="21"/>
        </w:rPr>
        <w:t>供应商的人员及车辆如在进行作业时发生故障，应及时作出适当的处理，避免造成更大的损失。由此发生的费用由</w:t>
      </w:r>
      <w:r>
        <w:rPr>
          <w:rFonts w:hint="eastAsia" w:ascii="宋体" w:hAnsi="宋体"/>
          <w:color w:val="auto"/>
          <w:sz w:val="21"/>
          <w:szCs w:val="21"/>
          <w:lang w:val="en-US" w:eastAsia="zh-CN"/>
        </w:rPr>
        <w:t>成交</w:t>
      </w:r>
      <w:r>
        <w:rPr>
          <w:rFonts w:hint="eastAsia" w:ascii="宋体" w:hAnsi="宋体"/>
          <w:color w:val="auto"/>
          <w:sz w:val="21"/>
          <w:szCs w:val="21"/>
        </w:rPr>
        <w:t>供应商负责。</w:t>
      </w:r>
      <w:bookmarkStart w:id="3" w:name="_Toc305833038"/>
    </w:p>
    <w:p w14:paraId="47D682D1">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8</w:t>
      </w:r>
      <w:r>
        <w:rPr>
          <w:rFonts w:hint="eastAsia" w:ascii="宋体" w:hAnsi="宋体"/>
          <w:color w:val="auto"/>
          <w:sz w:val="21"/>
          <w:szCs w:val="21"/>
          <w:lang w:eastAsia="zh-CN"/>
        </w:rPr>
        <w:t>、</w:t>
      </w:r>
      <w:r>
        <w:rPr>
          <w:rFonts w:hint="eastAsia" w:ascii="宋体" w:hAnsi="宋体"/>
          <w:color w:val="auto"/>
          <w:sz w:val="21"/>
          <w:szCs w:val="21"/>
        </w:rPr>
        <w:t>成交供应商在中标后必须按照规定给聘用的员工购买相应保险（建筑意外伤害保险等），在项目实施过程中，做好各项安全保护工作，严格管理，对他们的行为负全责，如有发生劳资纠纷、意外（包括但不限于：生病、伤亡事故等）或违反规定、触犯国家法律等行为，均由成交供应商承担全部责任及损失，与采购人无关。</w:t>
      </w:r>
    </w:p>
    <w:p w14:paraId="6588935F">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七、</w:t>
      </w:r>
      <w:r>
        <w:rPr>
          <w:rFonts w:hint="eastAsia"/>
          <w:b/>
          <w:color w:val="auto"/>
          <w:sz w:val="24"/>
          <w:szCs w:val="24"/>
        </w:rPr>
        <w:t>施工措施</w:t>
      </w:r>
    </w:p>
    <w:p w14:paraId="1D58B7BE">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eastAsia="zh-CN"/>
        </w:rPr>
        <w:t>、</w:t>
      </w:r>
      <w:r>
        <w:rPr>
          <w:rFonts w:hint="eastAsia" w:ascii="宋体" w:hAnsi="宋体"/>
          <w:color w:val="auto"/>
          <w:sz w:val="21"/>
          <w:szCs w:val="21"/>
        </w:rPr>
        <w:t>安全文明施工：按国家省市安全文明施工规范执行。为确保安全，施工单位应注意安全文明施工，注意避让附近村民；当天施工材料、工具、垃圾应及时清理。</w:t>
      </w:r>
    </w:p>
    <w:p w14:paraId="70EA72EC">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rPr>
        <w:t>成交供应商按照其施工组织设计中的水电负荷及施工现场实际情况，在施工场地边缘选择合适的施工用水、用电驳接点，并进行接驳，施工场地内施工用水、用电的管线由成交供应商负责，并根据施工需要自行解决。</w:t>
      </w:r>
    </w:p>
    <w:p w14:paraId="20ABDC84">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施工范围内的临时便道及临时排水设施由成交供应商负责，并根据施工需要修筑及维护。</w:t>
      </w:r>
    </w:p>
    <w:p w14:paraId="2CEF81B1">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成交供应商施工前应采用可行的措施对原有的建筑物、构筑物、绿化等进行保护，如由于成交供应商原因造成原有的建筑物、构筑物、绿化等损坏，由成交供应商负责修复和赔偿。</w:t>
      </w:r>
    </w:p>
    <w:p w14:paraId="0FA8A0E9">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eastAsia="zh-CN"/>
        </w:rPr>
        <w:t>、</w:t>
      </w:r>
      <w:r>
        <w:rPr>
          <w:rFonts w:hint="eastAsia" w:ascii="宋体" w:hAnsi="宋体"/>
          <w:color w:val="auto"/>
          <w:sz w:val="21"/>
          <w:szCs w:val="21"/>
        </w:rPr>
        <w:t>现场堆放材料、拆除施工产生的废料，须按要求统一地点堆放，每天进行清运出场。严禁抛掷和阻塞通道。成交供应商应充分考虑现场施工条件，报价需考虑上述不利因素（二次运输、外加工等）。</w:t>
      </w:r>
    </w:p>
    <w:p w14:paraId="4C0ED8C3">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rPr>
        <w:t>上述各项产生的费用已包括在合同价包干范围内，由成交供应商负责支付。若供应商报价中漏报，该项费用视为已包括在总报价中。</w:t>
      </w:r>
    </w:p>
    <w:p w14:paraId="1CD57D2B">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八、</w:t>
      </w:r>
      <w:r>
        <w:rPr>
          <w:rFonts w:hint="eastAsia"/>
          <w:b/>
          <w:color w:val="auto"/>
          <w:sz w:val="24"/>
          <w:szCs w:val="24"/>
        </w:rPr>
        <w:t>其它要求</w:t>
      </w:r>
      <w:bookmarkEnd w:id="3"/>
    </w:p>
    <w:p w14:paraId="76B678D6">
      <w:pPr>
        <w:pStyle w:val="15"/>
        <w:spacing w:line="360" w:lineRule="auto"/>
        <w:ind w:firstLine="420" w:firstLineChars="200"/>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eastAsia="zh-CN"/>
        </w:rPr>
        <w:t>、</w:t>
      </w:r>
      <w:r>
        <w:rPr>
          <w:rFonts w:hint="eastAsia" w:ascii="宋体" w:hAnsi="宋体"/>
          <w:color w:val="auto"/>
          <w:sz w:val="21"/>
          <w:szCs w:val="21"/>
          <w:lang w:val="en-US" w:eastAsia="zh-CN"/>
        </w:rPr>
        <w:t>供应商</w:t>
      </w:r>
      <w:r>
        <w:rPr>
          <w:rFonts w:hint="eastAsia" w:ascii="宋体" w:hAnsi="宋体"/>
          <w:color w:val="auto"/>
          <w:sz w:val="21"/>
          <w:szCs w:val="21"/>
        </w:rPr>
        <w:t>应对施工现场进行充分考察后，根据相关规范、规定，项目范围内现场实际情况，施工组织设计，自身企业能力，并自行考虑风险后参与投标及综合报价。</w:t>
      </w:r>
    </w:p>
    <w:p w14:paraId="69C6BDB0">
      <w:pPr>
        <w:pStyle w:val="15"/>
        <w:spacing w:line="360" w:lineRule="auto"/>
        <w:ind w:firstLine="420" w:firstLineChars="200"/>
        <w:rPr>
          <w:rFonts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rPr>
        <w:t>非经采购人同意，成交供应商不得将承包的全部或任何部分分包、转包或挂靠给他人。如发现成交供应商将承包转包、分包或挂靠，采购人有权单方面解除合同并取消其成交资格，保留要求赔偿的权利。</w:t>
      </w:r>
    </w:p>
    <w:p w14:paraId="16A28CC5">
      <w:pPr>
        <w:pStyle w:val="15"/>
        <w:spacing w:line="360" w:lineRule="auto"/>
        <w:ind w:firstLine="420" w:firstLineChars="200"/>
        <w:rPr>
          <w:rFonts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在项目实施期内，如成交供应商在人员配置、作业管理、质量控制等各个方面不能满足招标文件、合同的相关要求或没有实现投标文件中的相关承诺，采购人有权单方面解除合同并取消其成交资格，保留追究其法律责任的权利。</w:t>
      </w:r>
    </w:p>
    <w:p w14:paraId="53002D82">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九、</w:t>
      </w:r>
      <w:r>
        <w:rPr>
          <w:rFonts w:hint="eastAsia"/>
          <w:b/>
          <w:color w:val="auto"/>
          <w:sz w:val="24"/>
          <w:szCs w:val="24"/>
        </w:rPr>
        <w:t>验收要求</w:t>
      </w:r>
    </w:p>
    <w:p w14:paraId="4DFDEA13">
      <w:pPr>
        <w:pStyle w:val="15"/>
        <w:numPr>
          <w:ilvl w:val="0"/>
          <w:numId w:val="0"/>
        </w:numPr>
        <w:spacing w:line="360" w:lineRule="auto"/>
        <w:ind w:firstLine="420" w:firstLineChars="200"/>
        <w:rPr>
          <w:rFonts w:cs="Tahoma"/>
          <w:color w:val="auto"/>
          <w:sz w:val="21"/>
          <w:szCs w:val="21"/>
        </w:rPr>
      </w:pPr>
      <w:r>
        <w:rPr>
          <w:rFonts w:ascii="宋体" w:hAnsi="宋体" w:cs="Tahoma"/>
          <w:color w:val="auto"/>
          <w:sz w:val="21"/>
          <w:szCs w:val="21"/>
        </w:rPr>
        <w:t>1</w:t>
      </w:r>
      <w:r>
        <w:rPr>
          <w:rFonts w:hint="eastAsia" w:ascii="宋体" w:hAnsi="宋体" w:cs="Tahoma"/>
          <w:color w:val="auto"/>
          <w:sz w:val="21"/>
          <w:szCs w:val="21"/>
          <w:lang w:eastAsia="zh-CN"/>
        </w:rPr>
        <w:t>、</w:t>
      </w:r>
      <w:r>
        <w:rPr>
          <w:rFonts w:hint="eastAsia" w:ascii="宋体" w:hAnsi="宋体" w:cs="Tahoma"/>
          <w:color w:val="auto"/>
          <w:sz w:val="21"/>
          <w:szCs w:val="21"/>
        </w:rPr>
        <w:t>验收应在采购人</w:t>
      </w:r>
      <w:r>
        <w:rPr>
          <w:rFonts w:hint="eastAsia" w:ascii="宋体" w:hAnsi="宋体"/>
          <w:color w:val="auto"/>
          <w:sz w:val="21"/>
          <w:szCs w:val="21"/>
        </w:rPr>
        <w:t>、</w:t>
      </w:r>
      <w:r>
        <w:rPr>
          <w:rFonts w:hint="eastAsia" w:ascii="宋体" w:hAnsi="宋体" w:cs="Tahoma"/>
          <w:color w:val="auto"/>
          <w:sz w:val="21"/>
          <w:szCs w:val="21"/>
        </w:rPr>
        <w:t>成交供应商</w:t>
      </w:r>
      <w:r>
        <w:rPr>
          <w:rFonts w:hint="eastAsia" w:ascii="宋体" w:hAnsi="宋体"/>
          <w:color w:val="auto"/>
          <w:sz w:val="21"/>
          <w:szCs w:val="21"/>
        </w:rPr>
        <w:t>、设计单位和监理单位（如有）</w:t>
      </w:r>
      <w:r>
        <w:rPr>
          <w:rFonts w:hint="eastAsia" w:ascii="宋体" w:hAnsi="宋体" w:cs="Tahoma"/>
          <w:color w:val="auto"/>
          <w:sz w:val="21"/>
          <w:szCs w:val="21"/>
        </w:rPr>
        <w:t>共同参加下进行。</w:t>
      </w:r>
    </w:p>
    <w:p w14:paraId="38FB776E">
      <w:pPr>
        <w:widowControl/>
        <w:numPr>
          <w:ilvl w:val="0"/>
          <w:numId w:val="0"/>
        </w:numPr>
        <w:spacing w:line="360" w:lineRule="auto"/>
        <w:ind w:firstLine="420" w:firstLineChars="200"/>
        <w:jc w:val="left"/>
        <w:rPr>
          <w:color w:val="auto"/>
          <w:sz w:val="21"/>
          <w:szCs w:val="21"/>
        </w:rPr>
      </w:pPr>
      <w:r>
        <w:rPr>
          <w:rFonts w:ascii="宋体" w:hAnsi="宋体" w:cs="Tahoma"/>
          <w:color w:val="auto"/>
          <w:sz w:val="21"/>
          <w:szCs w:val="21"/>
        </w:rPr>
        <w:t>2</w:t>
      </w:r>
      <w:r>
        <w:rPr>
          <w:rFonts w:hint="eastAsia" w:ascii="宋体" w:hAnsi="宋体" w:cs="Tahoma"/>
          <w:color w:val="auto"/>
          <w:sz w:val="21"/>
          <w:szCs w:val="21"/>
          <w:lang w:eastAsia="zh-CN"/>
        </w:rPr>
        <w:t>、</w:t>
      </w:r>
      <w:r>
        <w:rPr>
          <w:rFonts w:hint="eastAsia" w:ascii="宋体" w:hAnsi="宋体"/>
          <w:color w:val="auto"/>
          <w:sz w:val="21"/>
          <w:szCs w:val="21"/>
        </w:rPr>
        <w:t>本项目应</w:t>
      </w:r>
      <w:r>
        <w:rPr>
          <w:rFonts w:hint="eastAsia" w:ascii="宋体" w:hAnsi="宋体" w:cs="Tahoma"/>
          <w:color w:val="auto"/>
          <w:sz w:val="21"/>
          <w:szCs w:val="21"/>
        </w:rPr>
        <w:t>严格按照</w:t>
      </w:r>
      <w:r>
        <w:rPr>
          <w:rFonts w:hint="eastAsia" w:ascii="宋体" w:hAnsi="宋体"/>
          <w:color w:val="auto"/>
          <w:sz w:val="21"/>
          <w:szCs w:val="21"/>
        </w:rPr>
        <w:t>施工图纸（施工图纸由成交供应商在项目实施前在采购人处领取）、</w:t>
      </w:r>
      <w:r>
        <w:rPr>
          <w:rFonts w:hint="eastAsia" w:ascii="宋体" w:hAnsi="宋体"/>
          <w:color w:val="auto"/>
          <w:sz w:val="21"/>
          <w:szCs w:val="21"/>
          <w:lang w:bidi="ar"/>
        </w:rPr>
        <w:t>符合</w:t>
      </w:r>
      <w:r>
        <w:rPr>
          <w:rFonts w:hint="eastAsia" w:ascii="宋体" w:hAnsi="宋体" w:cs="Tahoma"/>
          <w:color w:val="auto"/>
          <w:sz w:val="21"/>
          <w:szCs w:val="21"/>
        </w:rPr>
        <w:t>国家有关施工和验收规范技术标准进行施工，符合</w:t>
      </w:r>
      <w:r>
        <w:rPr>
          <w:rFonts w:hint="eastAsia" w:ascii="宋体" w:hAnsi="宋体"/>
          <w:color w:val="auto"/>
          <w:sz w:val="21"/>
          <w:szCs w:val="21"/>
        </w:rPr>
        <w:t>《工程施工质量验收规范》标准及</w:t>
      </w:r>
      <w:r>
        <w:rPr>
          <w:rFonts w:hint="eastAsia" w:ascii="宋体" w:hAnsi="宋体" w:cs="Tahoma"/>
          <w:color w:val="auto"/>
          <w:sz w:val="21"/>
          <w:szCs w:val="21"/>
        </w:rPr>
        <w:t>国家颁发的有关质量</w:t>
      </w:r>
      <w:r>
        <w:rPr>
          <w:rFonts w:hint="eastAsia" w:ascii="宋体" w:hAnsi="宋体"/>
          <w:color w:val="auto"/>
          <w:sz w:val="21"/>
          <w:szCs w:val="21"/>
        </w:rPr>
        <w:t>验收</w:t>
      </w:r>
      <w:r>
        <w:rPr>
          <w:rFonts w:hint="eastAsia" w:ascii="宋体" w:hAnsi="宋体" w:cs="Tahoma"/>
          <w:color w:val="auto"/>
          <w:sz w:val="21"/>
          <w:szCs w:val="21"/>
        </w:rPr>
        <w:t>标准，项目质量等级为合格或以上。</w:t>
      </w:r>
      <w:r>
        <w:rPr>
          <w:rFonts w:hint="eastAsia" w:ascii="宋体" w:hAnsi="宋体"/>
          <w:color w:val="auto"/>
          <w:sz w:val="21"/>
          <w:szCs w:val="21"/>
        </w:rPr>
        <w:t>成交供应商</w:t>
      </w:r>
      <w:r>
        <w:rPr>
          <w:rFonts w:hint="eastAsia" w:ascii="宋体" w:hAnsi="宋体" w:cs="Tahoma"/>
          <w:color w:val="auto"/>
          <w:sz w:val="21"/>
          <w:szCs w:val="21"/>
        </w:rPr>
        <w:t>的工作不符合规范要求或在实施过程中未按规定落实相关做法和措施或项目质量不合格的，采购人将要求停工或返工，</w:t>
      </w:r>
      <w:r>
        <w:rPr>
          <w:rFonts w:hint="eastAsia" w:ascii="宋体" w:hAnsi="宋体"/>
          <w:color w:val="auto"/>
          <w:sz w:val="21"/>
          <w:szCs w:val="21"/>
        </w:rPr>
        <w:t>成交供应商</w:t>
      </w:r>
      <w:r>
        <w:rPr>
          <w:rFonts w:hint="eastAsia" w:ascii="宋体" w:hAnsi="宋体" w:cs="Tahoma"/>
          <w:color w:val="auto"/>
          <w:sz w:val="21"/>
          <w:szCs w:val="21"/>
        </w:rPr>
        <w:t>必须立即执行，直至相关工作满足要求、质量合格为止，并承担由此产生的各种费用。情节严重的采购人有权与其解除合同，取消其</w:t>
      </w:r>
      <w:r>
        <w:rPr>
          <w:rFonts w:hint="eastAsia" w:ascii="宋体" w:hAnsi="宋体"/>
          <w:color w:val="auto"/>
          <w:sz w:val="21"/>
          <w:szCs w:val="21"/>
        </w:rPr>
        <w:t>成交</w:t>
      </w:r>
      <w:r>
        <w:rPr>
          <w:rFonts w:hint="eastAsia" w:ascii="宋体" w:hAnsi="宋体" w:cs="Tahoma"/>
          <w:color w:val="auto"/>
          <w:sz w:val="21"/>
          <w:szCs w:val="21"/>
        </w:rPr>
        <w:t>资格。</w:t>
      </w:r>
    </w:p>
    <w:p w14:paraId="26FC0408">
      <w:pPr>
        <w:pStyle w:val="15"/>
        <w:numPr>
          <w:ilvl w:val="0"/>
          <w:numId w:val="0"/>
        </w:numPr>
        <w:spacing w:line="360" w:lineRule="auto"/>
        <w:ind w:firstLine="420" w:firstLineChars="200"/>
        <w:rPr>
          <w:rFonts w:cs="Tahoma"/>
          <w:color w:val="auto"/>
          <w:sz w:val="21"/>
          <w:szCs w:val="21"/>
        </w:rPr>
      </w:pPr>
      <w:r>
        <w:rPr>
          <w:rFonts w:hint="eastAsia" w:ascii="宋体" w:hAnsi="宋体" w:cs="Tahoma"/>
          <w:color w:val="auto"/>
          <w:sz w:val="21"/>
          <w:szCs w:val="21"/>
        </w:rPr>
        <w:t>3</w:t>
      </w:r>
      <w:r>
        <w:rPr>
          <w:rFonts w:hint="eastAsia" w:ascii="宋体" w:hAnsi="宋体" w:cs="Tahoma"/>
          <w:color w:val="auto"/>
          <w:sz w:val="21"/>
          <w:szCs w:val="21"/>
          <w:lang w:eastAsia="zh-CN"/>
        </w:rPr>
        <w:t>、</w:t>
      </w:r>
      <w:r>
        <w:rPr>
          <w:rFonts w:hint="eastAsia" w:ascii="宋体" w:hAnsi="宋体" w:cs="Tahoma"/>
          <w:color w:val="auto"/>
          <w:sz w:val="21"/>
          <w:szCs w:val="21"/>
        </w:rPr>
        <w:t>供需双方将依据有关规定，对项目进行验收，并出具验收报告。</w:t>
      </w:r>
    </w:p>
    <w:p w14:paraId="7C71080E">
      <w:pPr>
        <w:pStyle w:val="15"/>
        <w:numPr>
          <w:ilvl w:val="0"/>
          <w:numId w:val="0"/>
        </w:numPr>
        <w:spacing w:line="360" w:lineRule="auto"/>
        <w:ind w:firstLine="420" w:firstLineChars="200"/>
        <w:rPr>
          <w:color w:val="auto"/>
          <w:sz w:val="21"/>
          <w:szCs w:val="21"/>
        </w:rPr>
      </w:pPr>
      <w:r>
        <w:rPr>
          <w:rFonts w:hint="eastAsia" w:ascii="宋体" w:hAnsi="宋体" w:cs="Tahoma"/>
          <w:color w:val="auto"/>
          <w:sz w:val="21"/>
          <w:szCs w:val="21"/>
        </w:rPr>
        <w:t>4</w:t>
      </w:r>
      <w:r>
        <w:rPr>
          <w:rFonts w:hint="eastAsia" w:ascii="宋体" w:hAnsi="宋体" w:cs="Tahoma"/>
          <w:color w:val="auto"/>
          <w:sz w:val="21"/>
          <w:szCs w:val="21"/>
          <w:lang w:eastAsia="zh-CN"/>
        </w:rPr>
        <w:t>、</w:t>
      </w:r>
      <w:r>
        <w:rPr>
          <w:rFonts w:hint="eastAsia" w:ascii="宋体" w:hAnsi="宋体" w:cs="Tahoma"/>
          <w:color w:val="auto"/>
          <w:sz w:val="21"/>
          <w:szCs w:val="21"/>
        </w:rPr>
        <w:t>验收的技术指标严格按照国家和</w:t>
      </w:r>
      <w:r>
        <w:rPr>
          <w:rFonts w:hint="eastAsia" w:ascii="宋体" w:hAnsi="宋体"/>
          <w:color w:val="auto"/>
          <w:sz w:val="21"/>
          <w:szCs w:val="21"/>
        </w:rPr>
        <w:t>项目所在地</w:t>
      </w:r>
      <w:r>
        <w:rPr>
          <w:rFonts w:hint="eastAsia" w:ascii="宋体" w:hAnsi="宋体" w:cs="Tahoma"/>
          <w:color w:val="auto"/>
          <w:sz w:val="21"/>
          <w:szCs w:val="21"/>
        </w:rPr>
        <w:t>现行</w:t>
      </w:r>
      <w:r>
        <w:rPr>
          <w:rFonts w:hint="eastAsia" w:ascii="宋体" w:hAnsi="宋体"/>
          <w:color w:val="auto"/>
          <w:sz w:val="21"/>
          <w:szCs w:val="21"/>
        </w:rPr>
        <w:t>的</w:t>
      </w:r>
      <w:r>
        <w:rPr>
          <w:rFonts w:hint="eastAsia" w:ascii="宋体" w:hAnsi="宋体" w:cs="Tahoma"/>
          <w:color w:val="auto"/>
          <w:sz w:val="21"/>
          <w:szCs w:val="21"/>
        </w:rPr>
        <w:t>施工验收规范、标准进行。</w:t>
      </w:r>
    </w:p>
    <w:p w14:paraId="505DC73D">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十、</w:t>
      </w:r>
      <w:r>
        <w:rPr>
          <w:rFonts w:hint="eastAsia"/>
          <w:b/>
          <w:color w:val="auto"/>
          <w:sz w:val="24"/>
          <w:szCs w:val="24"/>
        </w:rPr>
        <w:t>保修期</w:t>
      </w:r>
    </w:p>
    <w:p w14:paraId="06D99036">
      <w:pPr>
        <w:numPr>
          <w:ilvl w:val="0"/>
          <w:numId w:val="0"/>
        </w:numPr>
        <w:spacing w:line="360" w:lineRule="auto"/>
        <w:ind w:firstLine="420" w:firstLineChars="200"/>
        <w:outlineLvl w:val="1"/>
        <w:rPr>
          <w:rFonts w:hint="eastAsia"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项目保修期为1年，保修期以项目正式验收日期之日起开始计算。</w:t>
      </w:r>
    </w:p>
    <w:p w14:paraId="45BE0F71">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lang w:eastAsia="zh-CN"/>
        </w:rPr>
        <w:t>、</w:t>
      </w:r>
      <w:r>
        <w:rPr>
          <w:rFonts w:hint="eastAsia" w:ascii="宋体" w:hAnsi="宋体"/>
          <w:color w:val="auto"/>
          <w:sz w:val="21"/>
          <w:szCs w:val="21"/>
        </w:rPr>
        <w:t>保修按现行的《建设工程质量管理条例》执行，在保修期内因施工质量而造成返修，其费用由成交供应商负责。</w:t>
      </w:r>
    </w:p>
    <w:p w14:paraId="11E5BF38">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lang w:eastAsia="zh-CN"/>
        </w:rPr>
        <w:t>、</w:t>
      </w:r>
      <w:r>
        <w:rPr>
          <w:rFonts w:hint="eastAsia" w:ascii="宋体" w:hAnsi="宋体"/>
          <w:color w:val="auto"/>
          <w:sz w:val="21"/>
          <w:szCs w:val="21"/>
        </w:rPr>
        <w:t>属于保修范围的项目，成交供应商应在接到招标人通知后的1 小时内进行响应，2天内完成修复。2 天内无法完成修理的应与采购人协商一致后实施。</w:t>
      </w:r>
    </w:p>
    <w:p w14:paraId="124FF975">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lang w:eastAsia="zh-CN"/>
        </w:rPr>
        <w:t>、</w:t>
      </w:r>
      <w:r>
        <w:rPr>
          <w:rFonts w:hint="eastAsia" w:ascii="宋体" w:hAnsi="宋体"/>
          <w:color w:val="auto"/>
          <w:sz w:val="21"/>
          <w:szCs w:val="21"/>
        </w:rPr>
        <w:t>发生紧急抢修事故的，成交供应商在接到通知后，应立即赶赴现场进行抢修。</w:t>
      </w:r>
    </w:p>
    <w:p w14:paraId="2704A2B1">
      <w:pPr>
        <w:spacing w:line="360" w:lineRule="auto"/>
        <w:ind w:firstLine="420" w:firstLineChars="200"/>
        <w:outlineLvl w:val="1"/>
        <w:rPr>
          <w:rFonts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lang w:eastAsia="zh-CN"/>
        </w:rPr>
        <w:t>、</w:t>
      </w:r>
      <w:r>
        <w:rPr>
          <w:rFonts w:hint="eastAsia" w:ascii="宋体" w:hAnsi="宋体"/>
          <w:color w:val="auto"/>
          <w:sz w:val="21"/>
          <w:szCs w:val="21"/>
        </w:rPr>
        <w:t>在保修期内因施工质量而造成返修的，其费用由成交供应商负责。</w:t>
      </w:r>
    </w:p>
    <w:p w14:paraId="40591EBB">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十一、</w:t>
      </w:r>
      <w:r>
        <w:rPr>
          <w:rFonts w:hint="eastAsia"/>
          <w:b/>
          <w:color w:val="auto"/>
          <w:sz w:val="24"/>
          <w:szCs w:val="24"/>
        </w:rPr>
        <w:t>报价及结算要求</w:t>
      </w:r>
    </w:p>
    <w:p w14:paraId="1FF97777">
      <w:pPr>
        <w:pStyle w:val="15"/>
        <w:spacing w:line="360" w:lineRule="auto"/>
        <w:ind w:firstLine="420" w:firstLineChars="200"/>
        <w:outlineLvl w:val="1"/>
        <w:rPr>
          <w:rFonts w:ascii="宋体" w:hAnsi="宋体"/>
          <w:color w:val="auto"/>
          <w:sz w:val="21"/>
          <w:szCs w:val="21"/>
          <w:highlight w:val="none"/>
        </w:rPr>
      </w:pPr>
      <w:bookmarkStart w:id="4" w:name="_Toc305833041"/>
      <w:r>
        <w:rPr>
          <w:rFonts w:hint="eastAsia" w:ascii="宋体" w:hAnsi="宋体"/>
          <w:color w:val="auto"/>
          <w:sz w:val="21"/>
          <w:szCs w:val="21"/>
        </w:rPr>
        <w:t>1</w:t>
      </w:r>
      <w:r>
        <w:rPr>
          <w:rFonts w:hint="eastAsia" w:ascii="宋体" w:hAnsi="宋体"/>
          <w:color w:val="auto"/>
          <w:sz w:val="21"/>
          <w:szCs w:val="21"/>
          <w:lang w:eastAsia="zh-CN"/>
        </w:rPr>
        <w:t>、</w:t>
      </w:r>
      <w:r>
        <w:rPr>
          <w:rFonts w:hint="eastAsia" w:ascii="宋体" w:hAnsi="宋体"/>
          <w:color w:val="auto"/>
          <w:sz w:val="21"/>
          <w:szCs w:val="21"/>
        </w:rPr>
        <w:t>承包方式：本采购项目采用</w:t>
      </w:r>
      <w:r>
        <w:rPr>
          <w:rFonts w:hint="eastAsia" w:ascii="宋体" w:hAnsi="宋体"/>
          <w:color w:val="auto"/>
          <w:sz w:val="21"/>
          <w:szCs w:val="21"/>
          <w:highlight w:val="none"/>
        </w:rPr>
        <w:t>总价包干</w:t>
      </w:r>
      <w:r>
        <w:rPr>
          <w:rFonts w:hint="eastAsia" w:ascii="宋体" w:hAnsi="宋体"/>
          <w:color w:val="auto"/>
          <w:sz w:val="21"/>
          <w:szCs w:val="21"/>
        </w:rPr>
        <w:t>，包设计、人工、包材料、包机械、包质量、包工期、包安全、包安全文明施工。经采购人同意，发生工程量增减及材料变更的按实结算。</w:t>
      </w:r>
      <w:r>
        <w:rPr>
          <w:rFonts w:hint="eastAsia" w:ascii="宋体" w:hAnsi="宋体"/>
          <w:color w:val="auto"/>
          <w:sz w:val="21"/>
          <w:szCs w:val="21"/>
          <w:highlight w:val="none"/>
        </w:rPr>
        <w:t>增项部分计价参照项目实施期间的汕尾市建设工程管理信息价为依据，但不超过合同价的10%。</w:t>
      </w:r>
    </w:p>
    <w:p w14:paraId="14FE3D3B">
      <w:pPr>
        <w:pStyle w:val="15"/>
        <w:spacing w:line="360" w:lineRule="auto"/>
        <w:ind w:firstLine="420" w:firstLineChars="200"/>
        <w:outlineLvl w:val="1"/>
        <w:rPr>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供应商的报价按照中华人民共和国国家标准《建设工程工程量清单计价规范》及项目所在地相关定额及清单规范执行。</w:t>
      </w:r>
    </w:p>
    <w:p w14:paraId="18461EDC">
      <w:pPr>
        <w:pStyle w:val="15"/>
        <w:spacing w:line="360" w:lineRule="auto"/>
        <w:ind w:firstLine="420" w:firstLineChars="200"/>
        <w:outlineLvl w:val="1"/>
        <w:rPr>
          <w:rFonts w:ascii="宋体" w:hAnsi="宋体"/>
          <w:color w:val="auto"/>
          <w:sz w:val="21"/>
          <w:szCs w:val="21"/>
        </w:rPr>
      </w:pPr>
      <w:r>
        <w:rPr>
          <w:rFonts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投标供应商必须对本项目的全部内容进行报价，总报价不得超过该项目的预算金额（即最高限价），超过的报价视为无效，作废标处理。</w:t>
      </w:r>
    </w:p>
    <w:p w14:paraId="4104F066">
      <w:pPr>
        <w:pStyle w:val="15"/>
        <w:spacing w:line="360" w:lineRule="auto"/>
        <w:ind w:firstLine="420" w:firstLineChars="200"/>
        <w:outlineLvl w:val="1"/>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4</w:t>
      </w:r>
      <w:r>
        <w:rPr>
          <w:rFonts w:hint="eastAsia" w:ascii="宋体" w:hAnsi="宋体"/>
          <w:color w:val="auto"/>
          <w:sz w:val="21"/>
          <w:szCs w:val="21"/>
          <w:highlight w:val="none"/>
          <w:lang w:val="en-US" w:eastAsia="zh-CN"/>
        </w:rPr>
        <w:t>、安全生产措施费2991.62元，供应商在投标时应将安全生产措施费纳入投标报价，安全生产措施费不可浮动，否则作废标处理。</w:t>
      </w:r>
    </w:p>
    <w:p w14:paraId="4CFC8CDE">
      <w:pPr>
        <w:pStyle w:val="15"/>
        <w:spacing w:line="360" w:lineRule="auto"/>
        <w:ind w:firstLine="420" w:firstLineChars="200"/>
        <w:outlineLvl w:val="1"/>
        <w:rPr>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lang w:eastAsia="zh-CN"/>
        </w:rPr>
        <w:t>、</w:t>
      </w:r>
      <w:r>
        <w:rPr>
          <w:rFonts w:hint="eastAsia" w:ascii="宋体" w:hAnsi="宋体"/>
          <w:color w:val="auto"/>
          <w:sz w:val="21"/>
          <w:szCs w:val="21"/>
        </w:rPr>
        <w:t>投标报价总价应包含人工费、材料费、机械费、利润、税金、中标服务费（即招标代理费，不需要在报价中单列）以及所测算的风险金等项目实施过程中一切可预见及不可预见的全部费用。</w:t>
      </w:r>
    </w:p>
    <w:p w14:paraId="1BBF9FCD">
      <w:pPr>
        <w:pStyle w:val="15"/>
        <w:spacing w:line="360" w:lineRule="auto"/>
        <w:ind w:firstLine="420" w:firstLineChars="200"/>
        <w:outlineLvl w:val="1"/>
        <w:rPr>
          <w:color w:val="auto"/>
          <w:sz w:val="24"/>
          <w:szCs w:val="24"/>
        </w:rPr>
      </w:pPr>
      <w:r>
        <w:rPr>
          <w:rFonts w:hint="eastAsia" w:ascii="宋体" w:hAnsi="宋体"/>
          <w:color w:val="auto"/>
          <w:sz w:val="21"/>
          <w:szCs w:val="21"/>
          <w:lang w:val="en-US" w:eastAsia="zh-CN"/>
        </w:rPr>
        <w:t>6</w:t>
      </w:r>
      <w:r>
        <w:rPr>
          <w:rFonts w:hint="eastAsia" w:ascii="宋体" w:hAnsi="宋体"/>
          <w:color w:val="auto"/>
          <w:sz w:val="21"/>
          <w:szCs w:val="21"/>
          <w:lang w:eastAsia="zh-CN"/>
        </w:rPr>
        <w:t>、</w:t>
      </w:r>
      <w:r>
        <w:rPr>
          <w:rFonts w:hint="eastAsia" w:ascii="宋体" w:hAnsi="宋体"/>
          <w:color w:val="auto"/>
          <w:sz w:val="21"/>
          <w:szCs w:val="21"/>
        </w:rPr>
        <w:t>为完成本工程的一切安全施工、文明施工、周边环境的原状恢复费、保险费等以及按政策法规、规范要求实施的工序所引起的费用必须包含在报价内，工程结算时不另行追加。</w:t>
      </w:r>
      <w:r>
        <w:rPr>
          <w:rFonts w:ascii="宋体" w:hAnsi="宋体"/>
          <w:color w:val="auto"/>
          <w:sz w:val="24"/>
          <w:szCs w:val="24"/>
        </w:rPr>
        <w:t xml:space="preserve"> </w:t>
      </w:r>
    </w:p>
    <w:bookmarkEnd w:id="4"/>
    <w:p w14:paraId="79832104">
      <w:pPr>
        <w:pStyle w:val="18"/>
        <w:numPr>
          <w:ilvl w:val="0"/>
          <w:numId w:val="0"/>
        </w:numPr>
        <w:autoSpaceDE w:val="0"/>
        <w:autoSpaceDN w:val="0"/>
        <w:spacing w:line="360" w:lineRule="auto"/>
        <w:jc w:val="left"/>
        <w:outlineLvl w:val="1"/>
        <w:rPr>
          <w:b/>
          <w:color w:val="auto"/>
          <w:sz w:val="24"/>
          <w:szCs w:val="24"/>
        </w:rPr>
      </w:pPr>
      <w:r>
        <w:rPr>
          <w:rFonts w:hint="default" w:ascii="宋体" w:hAnsi="宋体" w:eastAsia="宋体" w:cs="宋体"/>
          <w:b/>
          <w:color w:val="auto"/>
          <w:kern w:val="0"/>
          <w:sz w:val="24"/>
          <w:szCs w:val="24"/>
          <w:lang w:val="en-US" w:eastAsia="en-US" w:bidi="ar-SA"/>
        </w:rPr>
        <w:t>十二、</w:t>
      </w:r>
      <w:r>
        <w:rPr>
          <w:rFonts w:hint="eastAsia"/>
          <w:b/>
          <w:color w:val="auto"/>
          <w:sz w:val="24"/>
          <w:szCs w:val="24"/>
        </w:rPr>
        <w:t>付款方式</w:t>
      </w:r>
    </w:p>
    <w:p w14:paraId="338E9A1E">
      <w:pPr>
        <w:pStyle w:val="15"/>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eastAsia="zh-CN"/>
        </w:rPr>
        <w:t>、</w:t>
      </w:r>
      <w:r>
        <w:rPr>
          <w:rFonts w:hint="eastAsia" w:ascii="宋体" w:hAnsi="宋体"/>
          <w:color w:val="auto"/>
          <w:sz w:val="21"/>
          <w:szCs w:val="21"/>
        </w:rPr>
        <w:t>合同签订后，支付合同款的30%为工程预付款</w:t>
      </w:r>
      <w:r>
        <w:rPr>
          <w:rFonts w:hint="eastAsia" w:ascii="宋体" w:hAnsi="宋体"/>
          <w:color w:val="auto"/>
          <w:sz w:val="21"/>
          <w:szCs w:val="21"/>
          <w:lang w:eastAsia="zh-CN"/>
        </w:rPr>
        <w:t>。</w:t>
      </w:r>
    </w:p>
    <w:p w14:paraId="6B63D6CB">
      <w:pPr>
        <w:pStyle w:val="15"/>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rPr>
        <w:t>按施工期间现场实际完成合格工程量支付进度款，最高支付至合同总价80%。</w:t>
      </w:r>
    </w:p>
    <w:p w14:paraId="07A80344">
      <w:pPr>
        <w:pStyle w:val="15"/>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项目验收合格并经采购人、县财政评审部门（如有）审核定案后支付至结算审核价的100%（含工程质量保修金）。</w:t>
      </w:r>
    </w:p>
    <w:p w14:paraId="0A88FCA1">
      <w:pPr>
        <w:pStyle w:val="15"/>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eastAsia="zh-CN"/>
        </w:rPr>
        <w:t>、</w:t>
      </w:r>
      <w:r>
        <w:rPr>
          <w:rFonts w:hint="eastAsia" w:ascii="宋体" w:hAnsi="宋体"/>
          <w:color w:val="auto"/>
          <w:sz w:val="21"/>
          <w:szCs w:val="21"/>
        </w:rPr>
        <w:t>工程质量保修金为工程结算审核价的3%，在完成结算评审并支付结算尾款前，成交供应商需采用银行转账或银行保函、保证保险（专业工程担保公司担保）等形式开具结算审核价的3%作为工程质量保证金。银行保函、保证保险（专业工程担保公司担保）的有效期不得少于该工程的保修期。如成交供应商不按本合同规定履行保修责任的，采购人可按规定从质量保修金扣除的保修费用不予返还。</w:t>
      </w:r>
    </w:p>
    <w:p w14:paraId="2E7BCAFE">
      <w:pPr>
        <w:spacing w:line="360" w:lineRule="auto"/>
        <w:ind w:firstLine="480" w:firstLineChars="200"/>
        <w:rPr>
          <w:rFonts w:ascii="宋体" w:hAnsi="宋体"/>
          <w:color w:val="auto"/>
          <w:sz w:val="24"/>
        </w:rPr>
      </w:pPr>
    </w:p>
    <w:sectPr>
      <w:footerReference r:id="rId3" w:type="default"/>
      <w:pgSz w:w="11906" w:h="16838"/>
      <w:pgMar w:top="1134" w:right="1247"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212827"/>
    </w:sdtPr>
    <w:sdtContent>
      <w:p w14:paraId="032E56E3">
        <w:pPr>
          <w:pStyle w:val="9"/>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TUyMmU5MTBjMTY1OTdlZWUyZTljMGQ0MmU4YTQifQ=="/>
  </w:docVars>
  <w:rsids>
    <w:rsidRoot w:val="00DC6344"/>
    <w:rsid w:val="00000293"/>
    <w:rsid w:val="0001323A"/>
    <w:rsid w:val="00015F52"/>
    <w:rsid w:val="000201DA"/>
    <w:rsid w:val="0002390B"/>
    <w:rsid w:val="00027B8B"/>
    <w:rsid w:val="00032940"/>
    <w:rsid w:val="00033AB2"/>
    <w:rsid w:val="00040291"/>
    <w:rsid w:val="00040611"/>
    <w:rsid w:val="00040AA7"/>
    <w:rsid w:val="00045C62"/>
    <w:rsid w:val="000510C6"/>
    <w:rsid w:val="000612D1"/>
    <w:rsid w:val="00063853"/>
    <w:rsid w:val="000641BB"/>
    <w:rsid w:val="000642A1"/>
    <w:rsid w:val="0006671C"/>
    <w:rsid w:val="00066756"/>
    <w:rsid w:val="0006689D"/>
    <w:rsid w:val="0006785F"/>
    <w:rsid w:val="00086C87"/>
    <w:rsid w:val="000936D0"/>
    <w:rsid w:val="00094873"/>
    <w:rsid w:val="000A3720"/>
    <w:rsid w:val="000A7A0B"/>
    <w:rsid w:val="000B4C51"/>
    <w:rsid w:val="000B543B"/>
    <w:rsid w:val="000B54E2"/>
    <w:rsid w:val="000C26D1"/>
    <w:rsid w:val="000D5EC8"/>
    <w:rsid w:val="000D7C5C"/>
    <w:rsid w:val="000E1E2F"/>
    <w:rsid w:val="000E2099"/>
    <w:rsid w:val="000F0B09"/>
    <w:rsid w:val="000F253E"/>
    <w:rsid w:val="000F2B42"/>
    <w:rsid w:val="00104539"/>
    <w:rsid w:val="001051C7"/>
    <w:rsid w:val="00125483"/>
    <w:rsid w:val="0012748B"/>
    <w:rsid w:val="00142DB3"/>
    <w:rsid w:val="001507B4"/>
    <w:rsid w:val="00155E50"/>
    <w:rsid w:val="00165A14"/>
    <w:rsid w:val="0017662C"/>
    <w:rsid w:val="0018572F"/>
    <w:rsid w:val="00186ABD"/>
    <w:rsid w:val="0019525D"/>
    <w:rsid w:val="001A6FB4"/>
    <w:rsid w:val="001B7A0B"/>
    <w:rsid w:val="001D464E"/>
    <w:rsid w:val="001D7D68"/>
    <w:rsid w:val="001E48A7"/>
    <w:rsid w:val="001E66AB"/>
    <w:rsid w:val="00203440"/>
    <w:rsid w:val="00204B85"/>
    <w:rsid w:val="0021289B"/>
    <w:rsid w:val="00215D0C"/>
    <w:rsid w:val="00220CA1"/>
    <w:rsid w:val="002262BC"/>
    <w:rsid w:val="00242DF8"/>
    <w:rsid w:val="0025215B"/>
    <w:rsid w:val="00252954"/>
    <w:rsid w:val="00252FA9"/>
    <w:rsid w:val="00287DC7"/>
    <w:rsid w:val="0029112B"/>
    <w:rsid w:val="00291706"/>
    <w:rsid w:val="00293C33"/>
    <w:rsid w:val="002A5D1E"/>
    <w:rsid w:val="002A6CDF"/>
    <w:rsid w:val="002B0222"/>
    <w:rsid w:val="002B1EE3"/>
    <w:rsid w:val="002B51F0"/>
    <w:rsid w:val="002B624F"/>
    <w:rsid w:val="002C2396"/>
    <w:rsid w:val="002C3985"/>
    <w:rsid w:val="002D13EA"/>
    <w:rsid w:val="002D2B87"/>
    <w:rsid w:val="002E1ADB"/>
    <w:rsid w:val="002E5A1E"/>
    <w:rsid w:val="002F3C64"/>
    <w:rsid w:val="002F50E5"/>
    <w:rsid w:val="00326D1F"/>
    <w:rsid w:val="00343643"/>
    <w:rsid w:val="003437AF"/>
    <w:rsid w:val="003742DB"/>
    <w:rsid w:val="00381530"/>
    <w:rsid w:val="0038179A"/>
    <w:rsid w:val="003A0428"/>
    <w:rsid w:val="003A2885"/>
    <w:rsid w:val="003A33C4"/>
    <w:rsid w:val="003B0B4C"/>
    <w:rsid w:val="003B6493"/>
    <w:rsid w:val="003D3A17"/>
    <w:rsid w:val="00404A64"/>
    <w:rsid w:val="00404C0B"/>
    <w:rsid w:val="004111D8"/>
    <w:rsid w:val="00412946"/>
    <w:rsid w:val="00417921"/>
    <w:rsid w:val="004255D3"/>
    <w:rsid w:val="00431398"/>
    <w:rsid w:val="00433E9E"/>
    <w:rsid w:val="00440B1B"/>
    <w:rsid w:val="00440B7B"/>
    <w:rsid w:val="0044211F"/>
    <w:rsid w:val="00444CDD"/>
    <w:rsid w:val="00464B51"/>
    <w:rsid w:val="00495305"/>
    <w:rsid w:val="004959A9"/>
    <w:rsid w:val="004A2319"/>
    <w:rsid w:val="004A6A6A"/>
    <w:rsid w:val="004B554E"/>
    <w:rsid w:val="004E1F90"/>
    <w:rsid w:val="004E3A9D"/>
    <w:rsid w:val="004F4625"/>
    <w:rsid w:val="00502E6C"/>
    <w:rsid w:val="00503698"/>
    <w:rsid w:val="00504ED7"/>
    <w:rsid w:val="00505B94"/>
    <w:rsid w:val="00516347"/>
    <w:rsid w:val="00522012"/>
    <w:rsid w:val="00546236"/>
    <w:rsid w:val="00550CAC"/>
    <w:rsid w:val="00551057"/>
    <w:rsid w:val="0056593E"/>
    <w:rsid w:val="00571D63"/>
    <w:rsid w:val="0058379D"/>
    <w:rsid w:val="00585A10"/>
    <w:rsid w:val="00592A86"/>
    <w:rsid w:val="005C3D50"/>
    <w:rsid w:val="005C7A2C"/>
    <w:rsid w:val="005D1739"/>
    <w:rsid w:val="005E06FA"/>
    <w:rsid w:val="005E2172"/>
    <w:rsid w:val="005E7131"/>
    <w:rsid w:val="005F3DE3"/>
    <w:rsid w:val="006048F0"/>
    <w:rsid w:val="0062349C"/>
    <w:rsid w:val="00624130"/>
    <w:rsid w:val="006247C6"/>
    <w:rsid w:val="00625594"/>
    <w:rsid w:val="0063629A"/>
    <w:rsid w:val="006422A3"/>
    <w:rsid w:val="0068256A"/>
    <w:rsid w:val="00684672"/>
    <w:rsid w:val="006879CB"/>
    <w:rsid w:val="00690A68"/>
    <w:rsid w:val="006915FA"/>
    <w:rsid w:val="0069202E"/>
    <w:rsid w:val="00696660"/>
    <w:rsid w:val="006A1F6A"/>
    <w:rsid w:val="006A6A1C"/>
    <w:rsid w:val="006B37C0"/>
    <w:rsid w:val="006C657F"/>
    <w:rsid w:val="006C6A4D"/>
    <w:rsid w:val="006C6DDE"/>
    <w:rsid w:val="006D121F"/>
    <w:rsid w:val="006D5118"/>
    <w:rsid w:val="006E09CA"/>
    <w:rsid w:val="006F343E"/>
    <w:rsid w:val="006F5DDD"/>
    <w:rsid w:val="006F6338"/>
    <w:rsid w:val="00700697"/>
    <w:rsid w:val="00705A87"/>
    <w:rsid w:val="00706E4B"/>
    <w:rsid w:val="00712FBA"/>
    <w:rsid w:val="0071407D"/>
    <w:rsid w:val="007150A4"/>
    <w:rsid w:val="007156D3"/>
    <w:rsid w:val="007404C6"/>
    <w:rsid w:val="0074069A"/>
    <w:rsid w:val="00750948"/>
    <w:rsid w:val="00751F21"/>
    <w:rsid w:val="007539A4"/>
    <w:rsid w:val="00756EFE"/>
    <w:rsid w:val="00767C5E"/>
    <w:rsid w:val="00774E12"/>
    <w:rsid w:val="007865E4"/>
    <w:rsid w:val="00786AE9"/>
    <w:rsid w:val="00791C42"/>
    <w:rsid w:val="007A0E86"/>
    <w:rsid w:val="007A2ABB"/>
    <w:rsid w:val="007A4086"/>
    <w:rsid w:val="007A6810"/>
    <w:rsid w:val="007B0206"/>
    <w:rsid w:val="007B153E"/>
    <w:rsid w:val="007B18B0"/>
    <w:rsid w:val="007C1002"/>
    <w:rsid w:val="007D001B"/>
    <w:rsid w:val="007D05D4"/>
    <w:rsid w:val="007E1277"/>
    <w:rsid w:val="007E26A5"/>
    <w:rsid w:val="007F7FE6"/>
    <w:rsid w:val="00800026"/>
    <w:rsid w:val="0080104E"/>
    <w:rsid w:val="00811AD5"/>
    <w:rsid w:val="008139ED"/>
    <w:rsid w:val="00815FD8"/>
    <w:rsid w:val="00822CEE"/>
    <w:rsid w:val="008237F5"/>
    <w:rsid w:val="008402EE"/>
    <w:rsid w:val="0085017B"/>
    <w:rsid w:val="00862F19"/>
    <w:rsid w:val="00864BCC"/>
    <w:rsid w:val="00874877"/>
    <w:rsid w:val="008B09EB"/>
    <w:rsid w:val="008B0CD3"/>
    <w:rsid w:val="008B4A1B"/>
    <w:rsid w:val="008C4A41"/>
    <w:rsid w:val="008C5CF5"/>
    <w:rsid w:val="008D7D04"/>
    <w:rsid w:val="008E3144"/>
    <w:rsid w:val="008E3736"/>
    <w:rsid w:val="008E4A64"/>
    <w:rsid w:val="008F17C6"/>
    <w:rsid w:val="008F570F"/>
    <w:rsid w:val="00920BCB"/>
    <w:rsid w:val="00925648"/>
    <w:rsid w:val="009332DC"/>
    <w:rsid w:val="0093488A"/>
    <w:rsid w:val="00943010"/>
    <w:rsid w:val="00943779"/>
    <w:rsid w:val="0094408B"/>
    <w:rsid w:val="00951440"/>
    <w:rsid w:val="009556B5"/>
    <w:rsid w:val="00957AEE"/>
    <w:rsid w:val="0096455C"/>
    <w:rsid w:val="009654F9"/>
    <w:rsid w:val="00982894"/>
    <w:rsid w:val="009828A5"/>
    <w:rsid w:val="0099271E"/>
    <w:rsid w:val="009A0493"/>
    <w:rsid w:val="009A1038"/>
    <w:rsid w:val="009A3425"/>
    <w:rsid w:val="009C6AF3"/>
    <w:rsid w:val="009D4824"/>
    <w:rsid w:val="009D6355"/>
    <w:rsid w:val="009E0971"/>
    <w:rsid w:val="009F37F5"/>
    <w:rsid w:val="009F4824"/>
    <w:rsid w:val="009F6E78"/>
    <w:rsid w:val="00A0374C"/>
    <w:rsid w:val="00A03ACB"/>
    <w:rsid w:val="00A10AE4"/>
    <w:rsid w:val="00A11B45"/>
    <w:rsid w:val="00A14403"/>
    <w:rsid w:val="00A23D6B"/>
    <w:rsid w:val="00A30F12"/>
    <w:rsid w:val="00A33CAC"/>
    <w:rsid w:val="00A4398E"/>
    <w:rsid w:val="00A45EE4"/>
    <w:rsid w:val="00A51D1A"/>
    <w:rsid w:val="00A6071E"/>
    <w:rsid w:val="00A642F2"/>
    <w:rsid w:val="00AA058F"/>
    <w:rsid w:val="00AA0BA7"/>
    <w:rsid w:val="00AA1E7C"/>
    <w:rsid w:val="00AA6EE4"/>
    <w:rsid w:val="00AA766F"/>
    <w:rsid w:val="00AC2BB0"/>
    <w:rsid w:val="00AC3C5B"/>
    <w:rsid w:val="00AD28FF"/>
    <w:rsid w:val="00AE3A65"/>
    <w:rsid w:val="00B0024D"/>
    <w:rsid w:val="00B038D1"/>
    <w:rsid w:val="00B14154"/>
    <w:rsid w:val="00B152CA"/>
    <w:rsid w:val="00B2167A"/>
    <w:rsid w:val="00B230AA"/>
    <w:rsid w:val="00B27549"/>
    <w:rsid w:val="00B5230F"/>
    <w:rsid w:val="00B666BE"/>
    <w:rsid w:val="00B80634"/>
    <w:rsid w:val="00B80774"/>
    <w:rsid w:val="00B818B0"/>
    <w:rsid w:val="00B829D8"/>
    <w:rsid w:val="00B8742A"/>
    <w:rsid w:val="00BC1603"/>
    <w:rsid w:val="00BD1C51"/>
    <w:rsid w:val="00BE52FD"/>
    <w:rsid w:val="00BF57F5"/>
    <w:rsid w:val="00C171D1"/>
    <w:rsid w:val="00C22104"/>
    <w:rsid w:val="00C2606A"/>
    <w:rsid w:val="00C2689B"/>
    <w:rsid w:val="00C26C96"/>
    <w:rsid w:val="00C3105A"/>
    <w:rsid w:val="00C31819"/>
    <w:rsid w:val="00C31B91"/>
    <w:rsid w:val="00C34A96"/>
    <w:rsid w:val="00C374C5"/>
    <w:rsid w:val="00C5156E"/>
    <w:rsid w:val="00C52C03"/>
    <w:rsid w:val="00C52ED4"/>
    <w:rsid w:val="00C73702"/>
    <w:rsid w:val="00C763B2"/>
    <w:rsid w:val="00C84AB6"/>
    <w:rsid w:val="00C864FD"/>
    <w:rsid w:val="00C92341"/>
    <w:rsid w:val="00C93D34"/>
    <w:rsid w:val="00CB4D18"/>
    <w:rsid w:val="00CC0FBA"/>
    <w:rsid w:val="00CC326A"/>
    <w:rsid w:val="00CC7D25"/>
    <w:rsid w:val="00CE34B8"/>
    <w:rsid w:val="00CE480F"/>
    <w:rsid w:val="00CF2260"/>
    <w:rsid w:val="00CF37E8"/>
    <w:rsid w:val="00CF662B"/>
    <w:rsid w:val="00CF6E1B"/>
    <w:rsid w:val="00CF75C7"/>
    <w:rsid w:val="00D00DD5"/>
    <w:rsid w:val="00D04972"/>
    <w:rsid w:val="00D063B7"/>
    <w:rsid w:val="00D10BC4"/>
    <w:rsid w:val="00D12341"/>
    <w:rsid w:val="00D14D47"/>
    <w:rsid w:val="00D17CF6"/>
    <w:rsid w:val="00D20E1E"/>
    <w:rsid w:val="00D25572"/>
    <w:rsid w:val="00D269AC"/>
    <w:rsid w:val="00D37A15"/>
    <w:rsid w:val="00D40578"/>
    <w:rsid w:val="00D406EB"/>
    <w:rsid w:val="00D41069"/>
    <w:rsid w:val="00D535A1"/>
    <w:rsid w:val="00D7633F"/>
    <w:rsid w:val="00D81991"/>
    <w:rsid w:val="00D83C52"/>
    <w:rsid w:val="00D97217"/>
    <w:rsid w:val="00D97CE0"/>
    <w:rsid w:val="00DA00E2"/>
    <w:rsid w:val="00DA02AB"/>
    <w:rsid w:val="00DA0953"/>
    <w:rsid w:val="00DA62A5"/>
    <w:rsid w:val="00DA7AAE"/>
    <w:rsid w:val="00DB146D"/>
    <w:rsid w:val="00DB6197"/>
    <w:rsid w:val="00DC3559"/>
    <w:rsid w:val="00DC6344"/>
    <w:rsid w:val="00DD0BFA"/>
    <w:rsid w:val="00DD5A85"/>
    <w:rsid w:val="00DD6024"/>
    <w:rsid w:val="00DE03E4"/>
    <w:rsid w:val="00DE0A71"/>
    <w:rsid w:val="00DE2D37"/>
    <w:rsid w:val="00DE7AF7"/>
    <w:rsid w:val="00E12C4C"/>
    <w:rsid w:val="00E1455B"/>
    <w:rsid w:val="00E14A35"/>
    <w:rsid w:val="00E16C4C"/>
    <w:rsid w:val="00E30CD0"/>
    <w:rsid w:val="00E3769C"/>
    <w:rsid w:val="00E37A94"/>
    <w:rsid w:val="00E4234B"/>
    <w:rsid w:val="00E63B81"/>
    <w:rsid w:val="00E663D6"/>
    <w:rsid w:val="00E82D72"/>
    <w:rsid w:val="00E8510C"/>
    <w:rsid w:val="00E91A84"/>
    <w:rsid w:val="00E95902"/>
    <w:rsid w:val="00EB04F2"/>
    <w:rsid w:val="00EB0933"/>
    <w:rsid w:val="00EB1F1D"/>
    <w:rsid w:val="00EB73B6"/>
    <w:rsid w:val="00EC3D24"/>
    <w:rsid w:val="00ED6F8A"/>
    <w:rsid w:val="00EE6A9E"/>
    <w:rsid w:val="00EF1FA6"/>
    <w:rsid w:val="00EF3D13"/>
    <w:rsid w:val="00EF5EBA"/>
    <w:rsid w:val="00F11E15"/>
    <w:rsid w:val="00F206B5"/>
    <w:rsid w:val="00F23AE3"/>
    <w:rsid w:val="00F303DF"/>
    <w:rsid w:val="00F34291"/>
    <w:rsid w:val="00F40116"/>
    <w:rsid w:val="00F5101F"/>
    <w:rsid w:val="00F5135E"/>
    <w:rsid w:val="00F673C1"/>
    <w:rsid w:val="00F7520C"/>
    <w:rsid w:val="00F825EA"/>
    <w:rsid w:val="00F86253"/>
    <w:rsid w:val="00F86906"/>
    <w:rsid w:val="00FA47BC"/>
    <w:rsid w:val="00FB22E3"/>
    <w:rsid w:val="00FB5420"/>
    <w:rsid w:val="00FD74BB"/>
    <w:rsid w:val="00FF5518"/>
    <w:rsid w:val="00FF5C9A"/>
    <w:rsid w:val="012F6C20"/>
    <w:rsid w:val="01845629"/>
    <w:rsid w:val="0241176D"/>
    <w:rsid w:val="04B57304"/>
    <w:rsid w:val="05487A71"/>
    <w:rsid w:val="05640941"/>
    <w:rsid w:val="0611321A"/>
    <w:rsid w:val="06263858"/>
    <w:rsid w:val="07BD2A0B"/>
    <w:rsid w:val="09AB2200"/>
    <w:rsid w:val="09CA2D7F"/>
    <w:rsid w:val="0A4F5468"/>
    <w:rsid w:val="0BCC0A88"/>
    <w:rsid w:val="0C3D66C1"/>
    <w:rsid w:val="0C883DEB"/>
    <w:rsid w:val="109A5DA6"/>
    <w:rsid w:val="12510C5C"/>
    <w:rsid w:val="15A71EE9"/>
    <w:rsid w:val="1679647F"/>
    <w:rsid w:val="18476E27"/>
    <w:rsid w:val="188C30EC"/>
    <w:rsid w:val="189B7D45"/>
    <w:rsid w:val="19642903"/>
    <w:rsid w:val="19C9006E"/>
    <w:rsid w:val="1AEF79E4"/>
    <w:rsid w:val="1BE1313C"/>
    <w:rsid w:val="1D915A4E"/>
    <w:rsid w:val="1DD426F1"/>
    <w:rsid w:val="2073282C"/>
    <w:rsid w:val="21E764DD"/>
    <w:rsid w:val="24AA255C"/>
    <w:rsid w:val="275F5156"/>
    <w:rsid w:val="27967D7E"/>
    <w:rsid w:val="281A014B"/>
    <w:rsid w:val="286C3201"/>
    <w:rsid w:val="28B07E7A"/>
    <w:rsid w:val="29E5346E"/>
    <w:rsid w:val="2A4E492A"/>
    <w:rsid w:val="2AF4119D"/>
    <w:rsid w:val="2BFE6BB3"/>
    <w:rsid w:val="2CC80F68"/>
    <w:rsid w:val="2D8811E7"/>
    <w:rsid w:val="2DC52423"/>
    <w:rsid w:val="2EF26D41"/>
    <w:rsid w:val="2F755CD1"/>
    <w:rsid w:val="2F8C032C"/>
    <w:rsid w:val="300620F1"/>
    <w:rsid w:val="303513BC"/>
    <w:rsid w:val="32DA709D"/>
    <w:rsid w:val="331324B0"/>
    <w:rsid w:val="337F5B28"/>
    <w:rsid w:val="3467425F"/>
    <w:rsid w:val="35EA53DF"/>
    <w:rsid w:val="37874097"/>
    <w:rsid w:val="37B50DAE"/>
    <w:rsid w:val="3A047D1C"/>
    <w:rsid w:val="3A084454"/>
    <w:rsid w:val="3AB57B20"/>
    <w:rsid w:val="3B031A64"/>
    <w:rsid w:val="3BB51924"/>
    <w:rsid w:val="3C19400A"/>
    <w:rsid w:val="3E1F002F"/>
    <w:rsid w:val="3FEA3790"/>
    <w:rsid w:val="44F03353"/>
    <w:rsid w:val="44F406B5"/>
    <w:rsid w:val="453F7C6E"/>
    <w:rsid w:val="4582701E"/>
    <w:rsid w:val="48D95111"/>
    <w:rsid w:val="49164511"/>
    <w:rsid w:val="49D05BD4"/>
    <w:rsid w:val="49E65C33"/>
    <w:rsid w:val="4A0E611E"/>
    <w:rsid w:val="4A3A489D"/>
    <w:rsid w:val="4A3F0DE9"/>
    <w:rsid w:val="4A941585"/>
    <w:rsid w:val="4A9F09B5"/>
    <w:rsid w:val="4C4A7C20"/>
    <w:rsid w:val="4CE33ECF"/>
    <w:rsid w:val="4CE96256"/>
    <w:rsid w:val="4DEE6E2A"/>
    <w:rsid w:val="4E240C6C"/>
    <w:rsid w:val="4F9473E3"/>
    <w:rsid w:val="50E92EAF"/>
    <w:rsid w:val="51B00AC9"/>
    <w:rsid w:val="5413188B"/>
    <w:rsid w:val="5463628E"/>
    <w:rsid w:val="562A33F1"/>
    <w:rsid w:val="577917B0"/>
    <w:rsid w:val="59901D04"/>
    <w:rsid w:val="5BF40F0C"/>
    <w:rsid w:val="602211ED"/>
    <w:rsid w:val="602957BF"/>
    <w:rsid w:val="605F50F7"/>
    <w:rsid w:val="614E75DC"/>
    <w:rsid w:val="61DF5FB0"/>
    <w:rsid w:val="62587674"/>
    <w:rsid w:val="626B59BD"/>
    <w:rsid w:val="65996BE1"/>
    <w:rsid w:val="661108C6"/>
    <w:rsid w:val="667F7A00"/>
    <w:rsid w:val="68677B44"/>
    <w:rsid w:val="6A6C412A"/>
    <w:rsid w:val="6B084EEF"/>
    <w:rsid w:val="6D5C058B"/>
    <w:rsid w:val="6FAC6DBB"/>
    <w:rsid w:val="70254120"/>
    <w:rsid w:val="70FC5431"/>
    <w:rsid w:val="716A438D"/>
    <w:rsid w:val="719C2BEE"/>
    <w:rsid w:val="71B418B4"/>
    <w:rsid w:val="72F15751"/>
    <w:rsid w:val="748D14FB"/>
    <w:rsid w:val="775E0FD5"/>
    <w:rsid w:val="794F7401"/>
    <w:rsid w:val="7A896A73"/>
    <w:rsid w:val="7CE61B8E"/>
    <w:rsid w:val="7CF5022E"/>
    <w:rsid w:val="7D012749"/>
    <w:rsid w:val="7EB9130B"/>
    <w:rsid w:val="7F34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7"/>
    <w:qFormat/>
    <w:uiPriority w:val="1"/>
    <w:pPr>
      <w:autoSpaceDE w:val="0"/>
      <w:autoSpaceDN w:val="0"/>
      <w:jc w:val="left"/>
    </w:pPr>
    <w:rPr>
      <w:rFonts w:ascii="宋体" w:hAnsi="宋体" w:cs="宋体"/>
      <w:kern w:val="0"/>
      <w:szCs w:val="21"/>
      <w:lang w:eastAsia="en-US"/>
    </w:rPr>
  </w:style>
  <w:style w:type="paragraph" w:styleId="8">
    <w:name w:val="Balloon Text"/>
    <w:basedOn w:val="1"/>
    <w:link w:val="20"/>
    <w:semiHidden/>
    <w:unhideWhenUsed/>
    <w:qFormat/>
    <w:uiPriority w:val="99"/>
    <w:rPr>
      <w:sz w:val="18"/>
      <w:szCs w:val="18"/>
    </w:rPr>
  </w:style>
  <w:style w:type="paragraph" w:styleId="9">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3">
    <w:name w:val="页眉 Char"/>
    <w:basedOn w:val="12"/>
    <w:link w:val="10"/>
    <w:qFormat/>
    <w:uiPriority w:val="99"/>
    <w:rPr>
      <w:sz w:val="18"/>
      <w:szCs w:val="18"/>
    </w:rPr>
  </w:style>
  <w:style w:type="character" w:customStyle="1" w:styleId="14">
    <w:name w:val="页脚 Char"/>
    <w:basedOn w:val="12"/>
    <w:link w:val="9"/>
    <w:qFormat/>
    <w:uiPriority w:val="99"/>
    <w:rPr>
      <w:sz w:val="18"/>
      <w:szCs w:val="18"/>
    </w:rPr>
  </w:style>
  <w:style w:type="paragraph" w:customStyle="1" w:styleId="15">
    <w:name w:val="p0"/>
    <w:basedOn w:val="1"/>
    <w:qFormat/>
    <w:uiPriority w:val="0"/>
    <w:rPr>
      <w:szCs w:val="21"/>
    </w:rPr>
  </w:style>
  <w:style w:type="table" w:customStyle="1" w:styleId="1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7">
    <w:name w:val="正文文本 Char"/>
    <w:basedOn w:val="12"/>
    <w:link w:val="7"/>
    <w:qFormat/>
    <w:uiPriority w:val="1"/>
    <w:rPr>
      <w:rFonts w:ascii="宋体" w:hAnsi="宋体" w:eastAsia="宋体" w:cs="宋体"/>
      <w:kern w:val="0"/>
      <w:szCs w:val="21"/>
      <w:lang w:eastAsia="en-US"/>
    </w:rPr>
  </w:style>
  <w:style w:type="paragraph" w:styleId="18">
    <w:name w:val="List Paragraph"/>
    <w:basedOn w:val="1"/>
    <w:qFormat/>
    <w:uiPriority w:val="1"/>
    <w:pPr>
      <w:autoSpaceDE w:val="0"/>
      <w:autoSpaceDN w:val="0"/>
      <w:ind w:left="232" w:hanging="566"/>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批注框文本 Char"/>
    <w:basedOn w:val="12"/>
    <w:link w:val="8"/>
    <w:semiHidden/>
    <w:qFormat/>
    <w:uiPriority w:val="99"/>
    <w:rPr>
      <w:rFonts w:ascii="Calibri" w:hAnsi="Calibri"/>
      <w:kern w:val="2"/>
      <w:sz w:val="18"/>
      <w:szCs w:val="18"/>
    </w:rPr>
  </w:style>
  <w:style w:type="character" w:customStyle="1" w:styleId="21">
    <w:name w:val="标题 1 Char"/>
    <w:basedOn w:val="12"/>
    <w:link w:val="2"/>
    <w:qFormat/>
    <w:uiPriority w:val="9"/>
    <w:rPr>
      <w:rFonts w:ascii="Calibri" w:hAnsi="Calibri"/>
      <w:b/>
      <w:bCs/>
      <w:kern w:val="44"/>
      <w:sz w:val="44"/>
      <w:szCs w:val="44"/>
    </w:rPr>
  </w:style>
  <w:style w:type="character" w:customStyle="1" w:styleId="22">
    <w:name w:val="标题 2 Char"/>
    <w:basedOn w:val="12"/>
    <w:link w:val="3"/>
    <w:qFormat/>
    <w:uiPriority w:val="9"/>
    <w:rPr>
      <w:rFonts w:asciiTheme="majorHAnsi" w:hAnsiTheme="majorHAnsi" w:eastAsiaTheme="majorEastAsia" w:cstheme="majorBidi"/>
      <w:b/>
      <w:bCs/>
      <w:kern w:val="2"/>
      <w:sz w:val="32"/>
      <w:szCs w:val="32"/>
    </w:rPr>
  </w:style>
  <w:style w:type="character" w:customStyle="1" w:styleId="23">
    <w:name w:val="标题 3 Char"/>
    <w:basedOn w:val="12"/>
    <w:link w:val="4"/>
    <w:qFormat/>
    <w:uiPriority w:val="9"/>
    <w:rPr>
      <w:rFonts w:ascii="Calibri" w:hAnsi="Calibri"/>
      <w:b/>
      <w:bCs/>
      <w:kern w:val="2"/>
      <w:sz w:val="32"/>
      <w:szCs w:val="32"/>
    </w:rPr>
  </w:style>
  <w:style w:type="character" w:customStyle="1" w:styleId="24">
    <w:name w:val="标题 4 Char"/>
    <w:basedOn w:val="12"/>
    <w:link w:val="5"/>
    <w:qFormat/>
    <w:uiPriority w:val="9"/>
    <w:rPr>
      <w:rFonts w:asciiTheme="majorHAnsi" w:hAnsiTheme="majorHAnsi" w:eastAsiaTheme="majorEastAsia" w:cstheme="majorBidi"/>
      <w:b/>
      <w:bCs/>
      <w:kern w:val="2"/>
      <w:sz w:val="28"/>
      <w:szCs w:val="28"/>
    </w:rPr>
  </w:style>
  <w:style w:type="character" w:customStyle="1" w:styleId="25">
    <w:name w:val="标题 5 Char"/>
    <w:basedOn w:val="12"/>
    <w:link w:val="6"/>
    <w:qFormat/>
    <w:uiPriority w:val="9"/>
    <w:rPr>
      <w:rFonts w:ascii="Calibri" w:hAnsi="Calibri"/>
      <w:b/>
      <w:bCs/>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3511</Words>
  <Characters>3541</Characters>
  <Lines>35</Lines>
  <Paragraphs>10</Paragraphs>
  <TotalTime>0</TotalTime>
  <ScaleCrop>false</ScaleCrop>
  <LinksUpToDate>false</LinksUpToDate>
  <CharactersWithSpaces>3545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2021-11-08T16:01:00Z</dcterms:created>
  <dc:creator>lenovo</dc:creator>
  <cp:lastModifiedBy>花花</cp:lastModifiedBy>
  <cp:lastPrinted>2025-11-14T09:39:00Z</cp:lastPrinted>
  <dcterms:modified xsi:type="dcterms:W3CDTF">2025-12-05T03:01:28Z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A7BD1A217333451394DC5758C1CC0C98_13</vt:lpwstr>
  </property>
  <property fmtid="{D5CDD505-2E9C-101B-9397-08002B2CF9AE}" pid="4" name="KSOTemplateDocerSaveRecord">
    <vt:lpwstr>eyJoZGlkIjoiYmMzMjZiMWNkYjNjMjVlZmMwOTEzNDIzNDRjOTY0ODMiLCJ1c2VySWQiOiIxMDI0MzgxMzc5In0=</vt:lpwstr>
  </property>
</Properties>
</file>