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4"/>
          <w:szCs w:val="44"/>
        </w:rPr>
      </w:pPr>
      <w:r>
        <w:rPr>
          <w:rFonts w:hint="eastAsia"/>
          <w:b/>
          <w:bCs/>
          <w:sz w:val="44"/>
          <w:szCs w:val="44"/>
        </w:rPr>
        <w:t>陆河县特殊学校自闭症评估康复训练中心设备采购项目用户需求清单</w:t>
      </w:r>
    </w:p>
    <w:tbl>
      <w:tblPr>
        <w:tblStyle w:val="5"/>
        <w:tblW w:w="14853"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3"/>
        <w:gridCol w:w="1123"/>
        <w:gridCol w:w="8222"/>
        <w:gridCol w:w="732"/>
        <w:gridCol w:w="702"/>
        <w:gridCol w:w="702"/>
        <w:gridCol w:w="702"/>
        <w:gridCol w:w="1964"/>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Height w:val="283" w:hRule="atLeast"/>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b/>
                <w:color w:val="000000"/>
                <w:szCs w:val="21"/>
              </w:rPr>
            </w:pPr>
            <w:r>
              <w:rPr>
                <w:rFonts w:hint="eastAsia" w:ascii="宋体" w:hAnsi="宋体" w:cs="宋体"/>
                <w:b/>
                <w:color w:val="000000"/>
                <w:kern w:val="0"/>
                <w:szCs w:val="21"/>
                <w:lang w:bidi="ar"/>
              </w:rPr>
              <w:t>序号</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b/>
                <w:color w:val="000000"/>
                <w:szCs w:val="21"/>
              </w:rPr>
            </w:pPr>
            <w:r>
              <w:rPr>
                <w:rFonts w:hint="eastAsia" w:ascii="宋体" w:hAnsi="宋体" w:cs="宋体"/>
                <w:b/>
                <w:color w:val="000000"/>
                <w:kern w:val="0"/>
                <w:szCs w:val="21"/>
                <w:lang w:bidi="ar"/>
              </w:rPr>
              <w:t>设备名称</w:t>
            </w:r>
          </w:p>
        </w:tc>
        <w:tc>
          <w:tcPr>
            <w:tcW w:w="8255" w:type="dxa"/>
            <w:tcMar>
              <w:top w:w="15" w:type="dxa"/>
              <w:left w:w="15" w:type="dxa"/>
              <w:right w:w="15" w:type="dxa"/>
            </w:tcMar>
            <w:vAlign w:val="center"/>
          </w:tcPr>
          <w:p>
            <w:pPr>
              <w:widowControl/>
              <w:adjustRightInd w:val="0"/>
              <w:snapToGrid w:val="0"/>
              <w:jc w:val="center"/>
              <w:textAlignment w:val="center"/>
              <w:rPr>
                <w:rFonts w:ascii="宋体" w:hAnsi="宋体" w:cs="宋体"/>
                <w:b/>
                <w:color w:val="000000"/>
                <w:szCs w:val="21"/>
              </w:rPr>
            </w:pPr>
            <w:r>
              <w:rPr>
                <w:rFonts w:hint="eastAsia" w:ascii="宋体" w:hAnsi="宋体" w:cs="宋体"/>
                <w:b/>
                <w:color w:val="000000"/>
                <w:kern w:val="0"/>
                <w:szCs w:val="21"/>
                <w:lang w:bidi="ar"/>
              </w:rPr>
              <w:t>规格参数</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b/>
                <w:color w:val="000000"/>
                <w:szCs w:val="21"/>
              </w:rPr>
            </w:pPr>
            <w:r>
              <w:rPr>
                <w:rFonts w:hint="eastAsia" w:ascii="宋体" w:hAnsi="宋体" w:cs="宋体"/>
                <w:b/>
                <w:color w:val="000000"/>
                <w:kern w:val="0"/>
                <w:szCs w:val="21"/>
                <w:lang w:bidi="ar"/>
              </w:rPr>
              <w:t>单价</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b/>
                <w:color w:val="000000"/>
                <w:szCs w:val="21"/>
              </w:rPr>
            </w:pPr>
            <w:r>
              <w:rPr>
                <w:rFonts w:hint="eastAsia" w:ascii="宋体" w:hAnsi="宋体" w:cs="宋体"/>
                <w:b/>
                <w:color w:val="000000"/>
                <w:kern w:val="0"/>
                <w:szCs w:val="21"/>
                <w:lang w:bidi="ar"/>
              </w:rPr>
              <w:t>单位</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b/>
                <w:color w:val="000000"/>
                <w:szCs w:val="21"/>
              </w:rPr>
            </w:pPr>
            <w:r>
              <w:rPr>
                <w:rFonts w:hint="eastAsia" w:ascii="宋体" w:hAnsi="宋体" w:cs="宋体"/>
                <w:b/>
                <w:color w:val="000000"/>
                <w:kern w:val="0"/>
                <w:szCs w:val="21"/>
                <w:lang w:bidi="ar"/>
              </w:rPr>
              <w:t>数量</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b/>
                <w:color w:val="000000"/>
                <w:szCs w:val="21"/>
              </w:rPr>
            </w:pPr>
            <w:r>
              <w:rPr>
                <w:rFonts w:hint="eastAsia" w:ascii="宋体" w:hAnsi="宋体" w:cs="宋体"/>
                <w:b/>
                <w:color w:val="000000"/>
                <w:kern w:val="0"/>
                <w:szCs w:val="21"/>
                <w:lang w:bidi="ar"/>
              </w:rPr>
              <w:t>总价</w:t>
            </w:r>
          </w:p>
        </w:tc>
        <w:tc>
          <w:tcPr>
            <w:tcW w:w="1972" w:type="dxa"/>
            <w:gridSpan w:val="2"/>
            <w:tcMar>
              <w:top w:w="15" w:type="dxa"/>
              <w:left w:w="15" w:type="dxa"/>
              <w:right w:w="15" w:type="dxa"/>
            </w:tcMar>
            <w:vAlign w:val="center"/>
          </w:tcPr>
          <w:p>
            <w:pPr>
              <w:widowControl/>
              <w:adjustRightInd w:val="0"/>
              <w:snapToGrid w:val="0"/>
              <w:jc w:val="center"/>
              <w:textAlignment w:val="center"/>
              <w:rPr>
                <w:rFonts w:ascii="宋体" w:hAnsi="宋体" w:cs="宋体"/>
                <w:b/>
                <w:color w:val="000000"/>
                <w:szCs w:val="21"/>
              </w:rPr>
            </w:pPr>
            <w:r>
              <w:rPr>
                <w:rFonts w:hint="eastAsia" w:ascii="宋体" w:hAnsi="宋体" w:cs="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Height w:val="283" w:hRule="atLeast"/>
        </w:trPr>
        <w:tc>
          <w:tcPr>
            <w:tcW w:w="14910" w:type="dxa"/>
            <w:gridSpan w:val="9"/>
            <w:tcMar>
              <w:top w:w="15" w:type="dxa"/>
              <w:left w:w="15" w:type="dxa"/>
              <w:right w:w="15" w:type="dxa"/>
            </w:tcMar>
            <w:vAlign w:val="center"/>
          </w:tcPr>
          <w:p>
            <w:pPr>
              <w:widowControl/>
              <w:adjustRightInd w:val="0"/>
              <w:snapToGrid w:val="0"/>
              <w:jc w:val="center"/>
              <w:textAlignment w:val="center"/>
              <w:rPr>
                <w:rFonts w:hint="eastAsia" w:ascii="宋体" w:hAnsi="宋体" w:cs="宋体"/>
                <w:b/>
                <w:color w:val="000000"/>
                <w:kern w:val="0"/>
                <w:szCs w:val="21"/>
                <w:lang w:bidi="ar"/>
              </w:rPr>
            </w:pPr>
            <w:r>
              <w:rPr>
                <w:rFonts w:hint="eastAsia" w:ascii="宋体" w:hAnsi="宋体" w:cs="宋体"/>
                <w:b/>
                <w:color w:val="000000"/>
                <w:kern w:val="0"/>
                <w:szCs w:val="21"/>
                <w:lang w:bidi="ar"/>
              </w:rPr>
              <w:t>一、评估诊断区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自闭症评估与训练仪</w:t>
            </w:r>
          </w:p>
        </w:tc>
        <w:tc>
          <w:tcPr>
            <w:tcW w:w="8255" w:type="dxa"/>
            <w:tcMar>
              <w:top w:w="15" w:type="dxa"/>
              <w:left w:w="15" w:type="dxa"/>
              <w:right w:w="15" w:type="dxa"/>
            </w:tcMar>
            <w:vAlign w:val="center"/>
          </w:tcPr>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软件具有国家版权局颁发的软件著作权登记证书。</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软件具有省级或国家级检测机构出具的软件产品登记测试报告。</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自闭症评估与训练仪由自闭症评估子系统、自闭症训练子系统、个别教育计划（IEP）子系统、数据分析子系统、课程教学子系统、学习资源子系统等数个专门针对自闭症儿童评估教学训练设计的子系统组成。系统共包括管理端、家长端、学生端三个用户端，分别提供给不同身份用户使用。</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自闭症评估子系统集成了孤独症发展儿童评估表、儿童孤独症评定量表、高功能自闭症谱系筛查问卷、孤独症儿童行为量表、克氏孤独症行为量表、TEACCH转衔评估工具等国内外权威专业工具，完成评估内容后系统会自动记录评估数据并生成详细的评估分析报告。同时系统和后续的训练及个别教育计划内容启动关联，可根据评估结果开展针对</w:t>
            </w:r>
            <w:bookmarkStart w:id="0" w:name="_GoBack"/>
            <w:bookmarkEnd w:id="0"/>
            <w:r>
              <w:rPr>
                <w:rFonts w:hint="eastAsia" w:ascii="宋体" w:hAnsi="宋体" w:cs="宋体"/>
                <w:color w:val="000000"/>
                <w:kern w:val="0"/>
                <w:szCs w:val="21"/>
                <w:lang w:bidi="ar"/>
              </w:rPr>
              <w:t>性训练。系统支持针对评估结果进行后续详细解析，可以智能提示分析内容辅助老师针对评估结果进行细化分析。</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自闭症训练子系统包括社会交往、认知训练、语言沟通、生活自理、感知觉、职业能力、大肌肉运动、小肌肉运动等八大维度的训练内容。每个维度的训练内容又包括了不同的子维度，子维度下面共涵盖了数百个完全不同的个性化的训练目标。如感知觉下面包括视觉、听觉、触觉、嗅觉、味觉五个子维度，其中视觉下面又包括了视觉注视、视觉辨认、视觉记忆等重点，里面又细分为能够注视光线刺激、静态物体追视训练、辨认熟悉人物的面孔、从复杂的背景中辨认图形、线条、颜色等等具体的目标。训练子系统为完全开放式平台，支持根据需求随时添加、维护系统中的训练内容，支持自主设计个性化训练课件并上传到系统内使用。</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个别教育计划子系统模块支持为每个学生定制其个别教育计划内容，包括训练的长期目标、每个阶段的短期目标、训练的具体计划及课时表、每次训练的记录和反馈、训练成绩的记录、跟踪全部训练进程，同时系统支持同步共享数据至家长端，家长可以查看训练进度并根据指导开展家庭训练记录至系统，实现家校协作共同教学。</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数据分析子系统支持对量表评估的多次结果进行累计追踪分析，通过数据对比评估训练效果，查看每个维度评估变化和整体的评估变化，通过即时显示历次数据对比可直观看出学生在哪些方面取得提高和进步，并可生成各维度康复效果统计图。系统支持针对评估量表的任意维度下的因子的数据进行筛查，同时支持原始评估数据通过excel表格的形式进行导入导出，即进行纸质测评的结果也可导入系统进行统计分析。</w:t>
            </w:r>
          </w:p>
          <w:p>
            <w:pPr>
              <w:widowControl/>
              <w:adjustRightInd w:val="0"/>
              <w:snapToGrid w:val="0"/>
              <w:jc w:val="both"/>
              <w:textAlignment w:val="center"/>
              <w:rPr>
                <w:rFonts w:ascii="宋体" w:hAnsi="宋体" w:cs="宋体"/>
                <w:color w:val="000000"/>
                <w:kern w:val="0"/>
                <w:szCs w:val="21"/>
                <w:lang w:bidi="ar"/>
              </w:rPr>
            </w:pPr>
            <w:r>
              <w:rPr>
                <w:rFonts w:hint="eastAsia" w:ascii="宋体" w:hAnsi="宋体" w:cs="宋体"/>
                <w:color w:val="000000"/>
                <w:kern w:val="0"/>
                <w:szCs w:val="21"/>
                <w:lang w:bidi="ar"/>
              </w:rPr>
              <w:t>课程教学子系统支持教师随时选择系统内预置的包括感知觉、语言与沟通、认知与学业、社会交往、职业发展等维度下数百种训练课程，如：光影交错、探照游戏、勇闯迷宫、硬币分类、全人拼图、听音识物、点五官、趣味识字、你画我学等等。教师可任意选择课程资源并开展个性化教学活动。系统支持为每位学生提供今日课程表，方便教师开展课堂教学活动，课程内容可随时进行动态维护补充。</w:t>
            </w:r>
          </w:p>
          <w:p>
            <w:pPr>
              <w:widowControl/>
              <w:adjustRightInd w:val="0"/>
              <w:snapToGrid w:val="0"/>
              <w:jc w:val="both"/>
              <w:textAlignment w:val="center"/>
              <w:rPr>
                <w:rFonts w:ascii="宋体" w:hAnsi="宋体" w:cs="宋体"/>
                <w:color w:val="000000"/>
                <w:kern w:val="0"/>
                <w:szCs w:val="21"/>
                <w:lang w:bidi="ar"/>
              </w:rPr>
            </w:pPr>
            <w:r>
              <w:rPr>
                <w:rFonts w:hint="eastAsia" w:ascii="宋体" w:hAnsi="宋体" w:cs="宋体"/>
                <w:color w:val="000000"/>
                <w:kern w:val="0"/>
                <w:szCs w:val="21"/>
                <w:lang w:bidi="ar"/>
              </w:rPr>
              <w:t>学习资源子系统为家校联合资源共享的落地应用，系统内提供了包括视频、音频、课件、书籍等丰富的自闭症教学辅助资源，来帮助教师同时指导家长从更广阔的的领域去帮助自闭症的孩子们开展有效的学习及训练任务。</w:t>
            </w:r>
          </w:p>
          <w:p>
            <w:pPr>
              <w:widowControl/>
              <w:adjustRightInd w:val="0"/>
              <w:snapToGrid w:val="0"/>
              <w:jc w:val="both"/>
              <w:textAlignment w:val="center"/>
              <w:rPr>
                <w:rFonts w:ascii="宋体" w:hAnsi="宋体" w:cs="宋体"/>
                <w:color w:val="000000"/>
                <w:kern w:val="0"/>
                <w:szCs w:val="21"/>
                <w:lang w:bidi="ar"/>
              </w:rPr>
            </w:pPr>
            <w:r>
              <w:rPr>
                <w:rFonts w:hint="eastAsia" w:ascii="宋体" w:hAnsi="宋体" w:cs="宋体"/>
                <w:color w:val="000000"/>
                <w:kern w:val="0"/>
                <w:szCs w:val="21"/>
                <w:lang w:bidi="ar"/>
              </w:rPr>
              <w:t>系统为了方便使用，还配套了详细的软件说明及使用指南以及全面的电子化记录文档和表格可随时下载打印。实现了学生建档-全面评估-制定个别教育计划-针对训练+辅导-数据分析-观察总结，自闭症评估训练及IEP的全部流程的动态跟踪与完整记录。提高了教师的工作效率与工作质量，搭建起家校沟通的桥梁，在全方位多领域帮助自闭症儿童更好的成长。</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包括自闭症评估与训练系统使用说明1本，手册内提供详细的操作说明，每个模块的具体操作指南并配有截图。</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32寸嵌入式流线型一体化操作台，配有无线键鼠。</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drawing>
                <wp:inline distT="0" distB="0" distL="0" distR="0">
                  <wp:extent cx="1229995" cy="1695450"/>
                  <wp:effectExtent l="0" t="0" r="825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
                          <a:stretch>
                            <a:fillRect/>
                          </a:stretch>
                        </pic:blipFill>
                        <pic:spPr>
                          <a:xfrm>
                            <a:off x="0" y="0"/>
                            <a:ext cx="1231291" cy="169693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1127" w:type="dxa"/>
            <w:tcMar>
              <w:top w:w="15" w:type="dxa"/>
              <w:left w:w="15" w:type="dxa"/>
              <w:right w:w="15" w:type="dxa"/>
            </w:tcMar>
            <w:vAlign w:val="center"/>
          </w:tcPr>
          <w:p>
            <w:pPr>
              <w:jc w:val="center"/>
            </w:pPr>
            <w:r>
              <w:rPr>
                <w:rFonts w:hint="eastAsia"/>
              </w:rPr>
              <w:t>自闭症心理教育量表工具包（小学低龄）</w:t>
            </w:r>
          </w:p>
        </w:tc>
        <w:tc>
          <w:tcPr>
            <w:tcW w:w="8255" w:type="dxa"/>
            <w:tcMar>
              <w:top w:w="15" w:type="dxa"/>
              <w:left w:w="15" w:type="dxa"/>
              <w:right w:w="15" w:type="dxa"/>
            </w:tcMar>
          </w:tcPr>
          <w:p>
            <w:pPr>
              <w:rPr>
                <w:rFonts w:asciiTheme="minorEastAsia" w:hAnsiTheme="minorEastAsia"/>
                <w:szCs w:val="21"/>
              </w:rPr>
            </w:pPr>
            <w:r>
              <w:rPr>
                <w:rFonts w:hint="eastAsia" w:asciiTheme="minorEastAsia" w:hAnsiTheme="minorEastAsia"/>
                <w:szCs w:val="21"/>
              </w:rPr>
              <w:t>心理教育量表是一种新型的发展量表，适合于身心发展处于7岁以下的孤独症谱系障碍及相关发育障碍儿童的发展与病理行为评估。C-PEP-3保留了PEP第一版项目数量少，操作简便，操作时间短，适应人群明确，被试不易因测试时间过长而出现焦虑反应等特点和优点，充分总结和吸收了我国专业人员在近20年中运用C-PEP的宝贵经验，更加适用于普遍使用普通话的大陆地区。</w:t>
            </w:r>
          </w:p>
          <w:p>
            <w:pPr>
              <w:rPr>
                <w:rFonts w:asciiTheme="minorEastAsia" w:hAnsiTheme="minorEastAsia"/>
                <w:szCs w:val="21"/>
              </w:rPr>
            </w:pPr>
            <w:r>
              <w:rPr>
                <w:rFonts w:hint="eastAsia" w:asciiTheme="minorEastAsia" w:hAnsiTheme="minorEastAsia"/>
                <w:szCs w:val="21"/>
              </w:rPr>
              <w:t>心理教育量表由发展功能分量表和病理学行为分量表两部分组成。发展功能分量表为发展评估工具，可以描述孤独症儿童在七大功能（95项）的发展水平，识别出孤独症儿童不均衡的、特异的学习模式（强项和弱项）：</w:t>
            </w:r>
          </w:p>
          <w:p>
            <w:pPr>
              <w:rPr>
                <w:rFonts w:asciiTheme="minorEastAsia" w:hAnsiTheme="minorEastAsia"/>
                <w:szCs w:val="21"/>
              </w:rPr>
            </w:pPr>
            <w:r>
              <w:rPr>
                <w:rFonts w:hint="eastAsia" w:asciiTheme="minorEastAsia" w:hAnsiTheme="minorEastAsia"/>
                <w:szCs w:val="21"/>
              </w:rPr>
              <w:t>1.模仿：评估儿童在口语及动作方面的模仿能力。道具：呼唤铃、橡皮泥、手偶猫等。</w:t>
            </w:r>
          </w:p>
          <w:p>
            <w:pPr>
              <w:rPr>
                <w:rFonts w:asciiTheme="minorEastAsia" w:hAnsiTheme="minorEastAsia"/>
                <w:szCs w:val="21"/>
              </w:rPr>
            </w:pPr>
            <w:r>
              <w:rPr>
                <w:rFonts w:hint="eastAsia" w:asciiTheme="minorEastAsia" w:hAnsiTheme="minorEastAsia"/>
                <w:szCs w:val="21"/>
              </w:rPr>
              <w:t>2.知觉：评估儿童视觉和听觉的发育水平。道具：泡泡瓶、三件式几何图形拼图、四件式图形拼图、三件式连指手套拼图、积木和圆板、响板、哨子、杯子、手摇铃、语言读本图册等。</w:t>
            </w:r>
          </w:p>
          <w:p>
            <w:pPr>
              <w:rPr>
                <w:rFonts w:asciiTheme="minorEastAsia" w:hAnsiTheme="minorEastAsia"/>
                <w:szCs w:val="21"/>
              </w:rPr>
            </w:pPr>
            <w:r>
              <w:rPr>
                <w:rFonts w:hint="eastAsia" w:asciiTheme="minorEastAsia" w:hAnsiTheme="minorEastAsia"/>
                <w:szCs w:val="21"/>
              </w:rPr>
              <w:t>3.精细动作：评估儿童在基本技能方面精细动作的能力。道具：泡泡瓶、橡皮泥、剪刀、珠子、粗线绳等。</w:t>
            </w:r>
          </w:p>
          <w:p>
            <w:pPr>
              <w:rPr>
                <w:rFonts w:asciiTheme="minorEastAsia" w:hAnsiTheme="minorEastAsia"/>
                <w:szCs w:val="21"/>
              </w:rPr>
            </w:pPr>
            <w:r>
              <w:rPr>
                <w:rFonts w:hint="eastAsia" w:asciiTheme="minorEastAsia" w:hAnsiTheme="minorEastAsia"/>
                <w:szCs w:val="21"/>
              </w:rPr>
              <w:t>4.粗大动作：评估儿童在基本技能方面粗大动作的能力。道具：球、珠子、粗线绳等。</w:t>
            </w:r>
          </w:p>
          <w:p>
            <w:pPr>
              <w:rPr>
                <w:rFonts w:asciiTheme="minorEastAsia" w:hAnsiTheme="minorEastAsia"/>
                <w:szCs w:val="21"/>
              </w:rPr>
            </w:pPr>
            <w:r>
              <w:rPr>
                <w:rFonts w:hint="eastAsia" w:asciiTheme="minorEastAsia" w:hAnsiTheme="minorEastAsia"/>
                <w:szCs w:val="21"/>
              </w:rPr>
              <w:t>5.手眼协调：评估儿童掌握书写、绘画的基础能力。道具：手偶猫及狗、三件式几何图形拼图、三件式连指手套拼图、咬合小猫拼图、临摹图形样图、汉字卡、汉字塑料板、积木、盒子等。</w:t>
            </w:r>
          </w:p>
          <w:p>
            <w:pPr>
              <w:rPr>
                <w:rFonts w:asciiTheme="minorEastAsia" w:hAnsiTheme="minorEastAsia"/>
                <w:szCs w:val="21"/>
              </w:rPr>
            </w:pPr>
            <w:r>
              <w:rPr>
                <w:rFonts w:hint="eastAsia" w:asciiTheme="minorEastAsia" w:hAnsiTheme="minorEastAsia"/>
                <w:szCs w:val="21"/>
              </w:rPr>
              <w:t>6.认知表现：评估儿童认知能力。道具：三件式几何图形拼图、三件式连指手套拼图、咬合小猫拼图、积木、圆板、汉字卡、汉字塑料板、八块塑料拼块、积木、杯子、功能卡片、分类卡片、语言读本图册、注音语言故事读本等。</w:t>
            </w:r>
          </w:p>
          <w:p>
            <w:pPr>
              <w:rPr>
                <w:rFonts w:asciiTheme="minorEastAsia" w:hAnsiTheme="minorEastAsia"/>
                <w:szCs w:val="21"/>
              </w:rPr>
            </w:pPr>
            <w:r>
              <w:rPr>
                <w:rFonts w:hint="eastAsia" w:asciiTheme="minorEastAsia" w:hAnsiTheme="minorEastAsia"/>
                <w:szCs w:val="21"/>
              </w:rPr>
              <w:t>7.口语认知：评估儿童语言能力。道具：三件式几何图形拼图、三件式连指手套拼图、积木、圆板、汉字卡、汉字塑料板、积木、数字卡片、语言读本图册、注音语言故事读本等。</w:t>
            </w:r>
          </w:p>
          <w:p>
            <w:pPr>
              <w:rPr>
                <w:rFonts w:asciiTheme="minorEastAsia" w:hAnsiTheme="minorEastAsia"/>
                <w:szCs w:val="21"/>
              </w:rPr>
            </w:pPr>
            <w:r>
              <w:rPr>
                <w:rFonts w:hint="eastAsia" w:asciiTheme="minorEastAsia" w:hAnsiTheme="minorEastAsia"/>
                <w:szCs w:val="21"/>
              </w:rPr>
              <w:t>病理学行为分量表可用于跟踪行为方面的变化，也可作为病理行为的诊断工具，它能识别患儿在情感、人际关系、合作行为及对人的兴趣、游戏及物品喜好、感觉模式、语言五个领域（44项）的病理行为或精神变态的严重程度。</w:t>
            </w:r>
          </w:p>
          <w:p>
            <w:pPr>
              <w:rPr>
                <w:rFonts w:asciiTheme="minorEastAsia" w:hAnsiTheme="minorEastAsia"/>
                <w:b/>
                <w:bCs/>
                <w:szCs w:val="21"/>
              </w:rPr>
            </w:pPr>
            <w:r>
              <w:rPr>
                <w:rFonts w:hint="eastAsia" w:asciiTheme="minorEastAsia" w:hAnsiTheme="minorEastAsia"/>
                <w:szCs w:val="21"/>
              </w:rPr>
              <w:t>病理学行为分量表所用道具：镜子、珠子、粗线绳、触摸块、万花筒、四件式图形拼图、响板、球、哨子、手摇铃等。</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rPr>
                <w:rFonts w:ascii="宋体" w:hAnsi="宋体"/>
                <w:color w:val="000000"/>
                <w:szCs w:val="21"/>
              </w:rPr>
            </w:pPr>
            <w:r>
              <w:drawing>
                <wp:inline distT="0" distB="0" distL="114300" distR="114300">
                  <wp:extent cx="1201420" cy="657225"/>
                  <wp:effectExtent l="0" t="0" r="17780" b="9525"/>
                  <wp:docPr id="300"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99"/>
                          <pic:cNvPicPr>
                            <a:picLocks noChangeAspect="1"/>
                          </pic:cNvPicPr>
                        </pic:nvPicPr>
                        <pic:blipFill>
                          <a:blip r:embed="rId6" cstate="print"/>
                          <a:stretch>
                            <a:fillRect/>
                          </a:stretch>
                        </pic:blipFill>
                        <pic:spPr>
                          <a:xfrm>
                            <a:off x="0" y="0"/>
                            <a:ext cx="1201420" cy="657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14910" w:type="dxa"/>
            <w:gridSpan w:val="9"/>
            <w:shd w:val="clear" w:color="auto" w:fill="auto"/>
            <w:tcMar>
              <w:top w:w="15" w:type="dxa"/>
              <w:left w:w="15" w:type="dxa"/>
              <w:right w:w="15" w:type="dxa"/>
            </w:tcMar>
            <w:vAlign w:val="center"/>
          </w:tcPr>
          <w:p>
            <w:pPr>
              <w:adjustRightInd w:val="0"/>
              <w:snapToGrid w:val="0"/>
              <w:jc w:val="center"/>
              <w:rPr>
                <w:rFonts w:ascii="宋体" w:hAnsi="宋体" w:cs="宋体"/>
                <w:color w:val="000000"/>
                <w:szCs w:val="21"/>
              </w:rPr>
            </w:pPr>
            <w:r>
              <w:rPr>
                <w:rFonts w:hint="eastAsia" w:ascii="宋体" w:hAnsi="宋体" w:cs="宋体"/>
                <w:b/>
                <w:color w:val="000000"/>
                <w:kern w:val="0"/>
                <w:szCs w:val="21"/>
                <w:lang w:bidi="ar"/>
              </w:rPr>
              <w:t>二、</w:t>
            </w:r>
            <w:r>
              <w:rPr>
                <w:rFonts w:hint="eastAsia" w:asciiTheme="minorEastAsia" w:hAnsiTheme="minorEastAsia"/>
                <w:b/>
                <w:sz w:val="24"/>
                <w:szCs w:val="24"/>
              </w:rPr>
              <w:t>社会交往能力训练区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w:t>
            </w:r>
          </w:p>
        </w:tc>
        <w:tc>
          <w:tcPr>
            <w:tcW w:w="1127" w:type="dxa"/>
            <w:shd w:val="clear" w:color="auto" w:fill="FFFFFF"/>
            <w:tcMar>
              <w:top w:w="15" w:type="dxa"/>
              <w:left w:w="15" w:type="dxa"/>
              <w:right w:w="15" w:type="dxa"/>
            </w:tcMar>
            <w:vAlign w:val="center"/>
          </w:tcPr>
          <w:p>
            <w:pPr>
              <w:jc w:val="center"/>
            </w:pPr>
            <w:r>
              <w:rPr>
                <w:rFonts w:hint="eastAsia" w:ascii="宋体" w:hAnsi="宋体" w:cs="宋体"/>
                <w:color w:val="000000"/>
                <w:szCs w:val="21"/>
              </w:rPr>
              <w:t>心智解读与社会交往能力评估训练仪</w:t>
            </w:r>
          </w:p>
        </w:tc>
        <w:tc>
          <w:tcPr>
            <w:tcW w:w="8255" w:type="dxa"/>
            <w:shd w:val="clear" w:color="auto" w:fill="FFFFFF"/>
            <w:tcMar>
              <w:top w:w="15" w:type="dxa"/>
              <w:left w:w="15" w:type="dxa"/>
              <w:right w:w="15" w:type="dxa"/>
            </w:tcMar>
          </w:tcPr>
          <w:p>
            <w:pPr>
              <w:rPr>
                <w:rFonts w:asciiTheme="minorEastAsia" w:hAnsiTheme="minorEastAsia"/>
                <w:b/>
                <w:bCs/>
                <w:szCs w:val="21"/>
              </w:rPr>
            </w:pPr>
            <w:r>
              <w:rPr>
                <w:rFonts w:hint="eastAsia" w:asciiTheme="minorEastAsia" w:hAnsiTheme="minorEastAsia"/>
                <w:b/>
                <w:bCs/>
                <w:szCs w:val="21"/>
              </w:rPr>
              <w:t>软件具有国家版权局颁发的软件著作权登记证书。</w:t>
            </w:r>
          </w:p>
          <w:p>
            <w:pPr>
              <w:tabs>
                <w:tab w:val="left" w:pos="1800"/>
                <w:tab w:val="left" w:pos="5580"/>
              </w:tabs>
              <w:rPr>
                <w:rFonts w:asciiTheme="minorEastAsia" w:hAnsiTheme="minorEastAsia"/>
                <w:szCs w:val="21"/>
              </w:rPr>
            </w:pPr>
            <w:r>
              <w:rPr>
                <w:rFonts w:hint="eastAsia" w:asciiTheme="minorEastAsia" w:hAnsiTheme="minorEastAsia"/>
                <w:b/>
                <w:bCs/>
                <w:iCs/>
                <w:szCs w:val="21"/>
              </w:rPr>
              <w:t>软件具有省级或国家级检测机构出具的软件产品登记测试报告。</w:t>
            </w:r>
          </w:p>
          <w:p>
            <w:pPr>
              <w:rPr>
                <w:rFonts w:cs="Arial" w:asciiTheme="minorEastAsia" w:hAnsiTheme="minorEastAsia"/>
                <w:bCs/>
                <w:kern w:val="36"/>
                <w:szCs w:val="21"/>
              </w:rPr>
            </w:pPr>
            <w:r>
              <w:rPr>
                <w:rFonts w:hint="eastAsia" w:cs="Arial" w:asciiTheme="minorEastAsia" w:hAnsiTheme="minorEastAsia"/>
                <w:bCs/>
                <w:kern w:val="36"/>
                <w:szCs w:val="21"/>
              </w:rPr>
              <w:t>心智解读与社会交往能力评估训练仪包含针对特殊儿童心智解读与社会交往能力的评估与训练内容，软件适用于认知能力达到两岁以上水平的、心智化发展能力落后、社交及沟通能力较弱的儿童及自闭症儿童。</w:t>
            </w:r>
          </w:p>
          <w:p>
            <w:pPr>
              <w:rPr>
                <w:rFonts w:cs="Arial" w:asciiTheme="minorEastAsia" w:hAnsiTheme="minorEastAsia"/>
                <w:bCs/>
                <w:kern w:val="36"/>
                <w:szCs w:val="21"/>
              </w:rPr>
            </w:pPr>
            <w:r>
              <w:rPr>
                <w:rFonts w:hint="eastAsia" w:cs="Arial" w:asciiTheme="minorEastAsia" w:hAnsiTheme="minorEastAsia"/>
                <w:bCs/>
                <w:kern w:val="36"/>
                <w:szCs w:val="21"/>
              </w:rPr>
              <w:t>软件的评估部分提供心智解读能力观察评估表、社交技能评定量表等专业评估工具。通过观察的评估方法，借助一系列的评估材料对儿童的心智解读能力及心智解读潜在发展能力进行评估，为开展针对性的提升儿童的心智解读能力进而改善自闭症儿童的社会交往能力提供依据。软件既可用于测试儿童的心智解读能力，也可作为鉴别儿童包括社会趋向、社会认知、社会性沟通、社会参与、自我调控等不同维度社交技能水平的诊断工具使用。教师可以通过评估软件完成测评内容，并自动生成测评结果报告。也可以直接运用配套量表、操作手册和道具完成全部测评任务。软件同时也支持通过选择前后不同时间的测试结果自动生成对比报告的功能，便于后续研究分析使用。</w:t>
            </w:r>
          </w:p>
          <w:p>
            <w:pPr>
              <w:rPr>
                <w:rFonts w:cs="Arial" w:asciiTheme="minorEastAsia" w:hAnsiTheme="minorEastAsia"/>
                <w:bCs/>
                <w:kern w:val="36"/>
                <w:szCs w:val="21"/>
              </w:rPr>
            </w:pPr>
            <w:r>
              <w:rPr>
                <w:rFonts w:hint="eastAsia" w:cs="Arial" w:asciiTheme="minorEastAsia" w:hAnsiTheme="minorEastAsia"/>
                <w:bCs/>
                <w:kern w:val="36"/>
                <w:szCs w:val="21"/>
              </w:rPr>
              <w:t>软件的训练部分包括共同注意、情绪解读、想法解读、假想游戏、高级心智化、社会交往、社交情感等心智解读相关的七大维度的训练内容。共同注意训练包括视线跟随、视线交替、指点、分享性共同注意等维度的训练游戏。情绪解读训练包括表情识别、情绪理解、愿望识别等维度的训练游戏。想法解读包括简单视角、复杂视角、错误信念等维度的训练游戏。假想游戏包括假想情景、角色扮演等维度的训练游戏。高级心智化包括比喻理解、幽默理解、讽刺理解等维度的训练游戏。社会交往包括表达需求、做出回应、非言语表达等维度的训练游戏。社交情感包括情绪调节、同理心建设等维度的训练游戏。</w:t>
            </w:r>
          </w:p>
          <w:p>
            <w:pPr>
              <w:rPr>
                <w:rFonts w:cs="Arial" w:asciiTheme="minorEastAsia" w:hAnsiTheme="minorEastAsia"/>
                <w:bCs/>
                <w:kern w:val="36"/>
                <w:szCs w:val="21"/>
              </w:rPr>
            </w:pPr>
            <w:r>
              <w:rPr>
                <w:rFonts w:hint="eastAsia" w:cs="Arial" w:asciiTheme="minorEastAsia" w:hAnsiTheme="minorEastAsia"/>
                <w:bCs/>
                <w:kern w:val="36"/>
                <w:szCs w:val="21"/>
              </w:rPr>
              <w:t>软件支持教师针对学生创建属于个体的个性化训练方案，包括制定训练的长期目标、分解至短期目标、创建训练计划、执行训练任务等一系列完整的方案内容，创建方案支持自动同步到学生端。</w:t>
            </w:r>
          </w:p>
          <w:p>
            <w:pPr>
              <w:rPr>
                <w:rFonts w:cs="Arial" w:asciiTheme="minorEastAsia" w:hAnsiTheme="minorEastAsia"/>
                <w:bCs/>
                <w:kern w:val="36"/>
                <w:szCs w:val="21"/>
              </w:rPr>
            </w:pPr>
            <w:r>
              <w:rPr>
                <w:rFonts w:hint="eastAsia" w:cs="Arial" w:asciiTheme="minorEastAsia" w:hAnsiTheme="minorEastAsia"/>
                <w:bCs/>
                <w:kern w:val="36"/>
                <w:szCs w:val="21"/>
              </w:rPr>
              <w:t>软件还提供了丰富的训练资源内容，基本覆盖心智解读与社会交往的核心内容，包含共同注意、情绪解读、想法解读、假想游戏、高级心智化、社会交往、社交情感等多种维度。软件支持将资源绑定给特定的学生用户。</w:t>
            </w:r>
          </w:p>
          <w:p>
            <w:pPr>
              <w:rPr>
                <w:rFonts w:cs="Arial" w:asciiTheme="minorEastAsia" w:hAnsiTheme="minorEastAsia"/>
                <w:bCs/>
                <w:kern w:val="36"/>
                <w:szCs w:val="21"/>
              </w:rPr>
            </w:pPr>
            <w:r>
              <w:rPr>
                <w:rFonts w:hint="eastAsia" w:cs="Arial" w:asciiTheme="minorEastAsia" w:hAnsiTheme="minorEastAsia"/>
                <w:bCs/>
                <w:kern w:val="36"/>
                <w:szCs w:val="21"/>
              </w:rPr>
              <w:t>软件的学生端可以进行训练、实施个训方案、查看训练资源，同时特别设计了成就奖励机制，为每个训练任务设计了成就墙，激发学生兴趣、鼓励学生不断挑战自己多次进行训练游戏。</w:t>
            </w:r>
          </w:p>
          <w:p>
            <w:pPr>
              <w:rPr>
                <w:rFonts w:cs="Arial" w:asciiTheme="minorEastAsia" w:hAnsiTheme="minorEastAsia"/>
                <w:b/>
                <w:bCs/>
                <w:color w:val="FF0000"/>
                <w:kern w:val="36"/>
                <w:szCs w:val="21"/>
              </w:rPr>
            </w:pPr>
            <w:r>
              <w:rPr>
                <w:rFonts w:hint="eastAsia" w:cs="Arial" w:asciiTheme="minorEastAsia" w:hAnsiTheme="minorEastAsia"/>
                <w:b/>
                <w:bCs/>
                <w:kern w:val="36"/>
                <w:szCs w:val="21"/>
              </w:rPr>
              <w:t>硬件部分：</w:t>
            </w:r>
          </w:p>
          <w:p>
            <w:r>
              <w:rPr>
                <w:rFonts w:hint="eastAsia" w:asciiTheme="minorEastAsia" w:hAnsiTheme="minorEastAsia"/>
                <w:szCs w:val="21"/>
              </w:rPr>
              <w:t>32寸</w:t>
            </w:r>
            <w:r>
              <w:rPr>
                <w:rFonts w:asciiTheme="minorEastAsia" w:hAnsiTheme="minorEastAsia"/>
                <w:szCs w:val="21"/>
              </w:rPr>
              <w:t>嵌入式一体操作台</w:t>
            </w:r>
            <w:r>
              <w:rPr>
                <w:rFonts w:hint="eastAsia" w:asciiTheme="minorEastAsia" w:hAnsiTheme="minorEastAsia"/>
                <w:szCs w:val="21"/>
              </w:rPr>
              <w:t>，配有无线键鼠。</w:t>
            </w:r>
          </w:p>
        </w:tc>
        <w:tc>
          <w:tcPr>
            <w:tcW w:w="735" w:type="dxa"/>
            <w:shd w:val="clear" w:color="auto" w:fill="auto"/>
            <w:tcMar>
              <w:top w:w="15" w:type="dxa"/>
              <w:left w:w="15" w:type="dxa"/>
              <w:right w:w="15" w:type="dxa"/>
            </w:tcMar>
            <w:vAlign w:val="center"/>
          </w:tcPr>
          <w:p>
            <w:pPr>
              <w:jc w:val="center"/>
              <w:rPr>
                <w:rFonts w:asciiTheme="minorEastAsia" w:hAnsiTheme="minorEastAsia"/>
              </w:rPr>
            </w:pP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r>
              <w:rPr>
                <w:rFonts w:hint="eastAsia" w:cs="宋体" w:asciiTheme="minorEastAsia" w:hAnsiTheme="minorEastAsia"/>
                <w:color w:val="000000"/>
                <w:kern w:val="0"/>
                <w:szCs w:val="21"/>
                <w:lang w:bidi="ar"/>
              </w:rPr>
              <w:t>套</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r>
              <w:rPr>
                <w:rFonts w:hint="eastAsia" w:cs="宋体" w:asciiTheme="minorEastAsia" w:hAnsiTheme="minorEastAsia"/>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137920" cy="156210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1139601" cy="1564080"/>
                          </a:xfrm>
                          <a:prstGeom prst="rect">
                            <a:avLst/>
                          </a:prstGeom>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r>
              <w:drawing>
                <wp:inline distT="0" distB="0" distL="0" distR="0">
                  <wp:extent cx="1236345" cy="69532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1237820" cy="695935"/>
                          </a:xfrm>
                          <a:prstGeom prst="rect">
                            <a:avLst/>
                          </a:prstGeom>
                        </pic:spPr>
                      </pic:pic>
                    </a:graphicData>
                  </a:graphic>
                </wp:inline>
              </w:drawing>
            </w:r>
          </w:p>
          <w:p>
            <w:pPr>
              <w:rPr>
                <w:rFonts w:ascii="宋体" w:hAnsi="宋体" w:cs="宋体"/>
                <w:szCs w:val="21"/>
              </w:rPr>
            </w:pPr>
          </w:p>
          <w:p>
            <w:pPr>
              <w:rPr>
                <w:rFonts w:ascii="宋体" w:hAnsi="宋体" w:cs="宋体"/>
                <w:szCs w:val="21"/>
              </w:rPr>
            </w:pPr>
            <w:r>
              <w:drawing>
                <wp:inline distT="0" distB="0" distL="0" distR="0">
                  <wp:extent cx="1243965" cy="7048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1242503" cy="70375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1127"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心智解读与社会交往能力训练工具包</w:t>
            </w:r>
          </w:p>
        </w:tc>
        <w:tc>
          <w:tcPr>
            <w:tcW w:w="8255" w:type="dxa"/>
            <w:shd w:val="clear" w:color="auto" w:fill="FFFFFF"/>
            <w:tcMar>
              <w:top w:w="15" w:type="dxa"/>
              <w:left w:w="15" w:type="dxa"/>
              <w:right w:w="15" w:type="dxa"/>
            </w:tcMar>
            <w:vAlign w:val="center"/>
          </w:tcPr>
          <w:p>
            <w:pPr>
              <w:rPr>
                <w:rFonts w:cs="Arial" w:asciiTheme="minorEastAsia" w:hAnsiTheme="minorEastAsia"/>
                <w:bCs/>
                <w:kern w:val="36"/>
                <w:szCs w:val="21"/>
              </w:rPr>
            </w:pPr>
            <w:r>
              <w:rPr>
                <w:rFonts w:hint="eastAsia" w:cs="Arial" w:asciiTheme="minorEastAsia" w:hAnsiTheme="minorEastAsia"/>
                <w:bCs/>
                <w:kern w:val="36"/>
                <w:szCs w:val="21"/>
              </w:rPr>
              <w:t>心智解读与社会交往能力训练工具包由《心智解读与社会交往能力训练教程》与该训练教程配套的活动道具构成，适用于教师对4岁及以上心智化发展能力落后、社交及沟通能力较弱的儿童及自闭症儿童、青少年进行心智解读能力与社会交往能力训练。</w:t>
            </w:r>
          </w:p>
          <w:p>
            <w:pPr>
              <w:rPr>
                <w:rFonts w:cs="Arial" w:asciiTheme="minorEastAsia" w:hAnsiTheme="minorEastAsia"/>
                <w:bCs/>
                <w:kern w:val="36"/>
                <w:szCs w:val="21"/>
              </w:rPr>
            </w:pPr>
            <w:r>
              <w:rPr>
                <w:rFonts w:hint="eastAsia" w:cs="Arial" w:asciiTheme="minorEastAsia" w:hAnsiTheme="minorEastAsia"/>
                <w:bCs/>
                <w:kern w:val="36"/>
                <w:szCs w:val="21"/>
              </w:rPr>
              <w:t>心智解读又称心理理论，是指个体对他人和自己的心理状态（如需要、想法、意图等）的认知，在情绪认知、自我发展和社会认知等方面对个体的发展产生巨大影响。《心智解读与社会交往评估训练教程》包含共同注意、情绪解读、想法解读、假想游戏、高级心智化、社交情感、社交沟通七个方面内容,包括100多个训练活动。其中，共同注意、情绪解读、想法解读、假想游戏四个维度为基础训练内容，每个维度分成不同层级循序渐进地培养学生的心智解读能力；进一步，高级心智化以比喻、幽默、玩笑和谎言、讽刺、分辨失礼情景五个子维度来进一步促进学生的心智解读能力向社会交往能力转化；最后，社交情感、社交技能两个维度综合训练学生的心智解读能力，强化和巩固学生在社交情景中社会交往能力的发展。</w:t>
            </w:r>
          </w:p>
          <w:p>
            <w:pPr>
              <w:rPr>
                <w:rFonts w:cs="Arial" w:asciiTheme="minorEastAsia" w:hAnsiTheme="minorEastAsia"/>
                <w:bCs/>
                <w:kern w:val="36"/>
                <w:szCs w:val="21"/>
              </w:rPr>
            </w:pPr>
            <w:r>
              <w:rPr>
                <w:rFonts w:hint="eastAsia" w:cs="Arial" w:asciiTheme="minorEastAsia" w:hAnsiTheme="minorEastAsia"/>
                <w:bCs/>
                <w:kern w:val="36"/>
                <w:szCs w:val="21"/>
              </w:rPr>
              <w:t>该工具包通过1-4人的小团体游戏来开展训练活动。每个训练活动包括：训练目标、训练前提、训练道具、训练步骤等不同环节。训练活动充分利用自闭症儿童视觉加工优势的特点，配有丰富多样的图片，包括不同情绪的表情图片、情景图片、系列故事卡片等共300多张卡片，以及能够激发学生兴趣的道具近70多种，如，生日蛋糕、过家家玩具、车模玩具、声光锤等，既能让教师便利开展活动，也能让学生积极参与，在愉快的氛围中潜移默化地获得心智解读能力及社会交往能力的发展。</w:t>
            </w:r>
          </w:p>
          <w:p>
            <w:pPr>
              <w:rPr>
                <w:rFonts w:cs="Arial" w:asciiTheme="minorEastAsia" w:hAnsiTheme="minorEastAsia"/>
                <w:bCs/>
                <w:kern w:val="36"/>
                <w:szCs w:val="21"/>
              </w:rPr>
            </w:pPr>
            <w:r>
              <w:rPr>
                <w:rFonts w:hint="eastAsia" w:cs="Arial" w:asciiTheme="minorEastAsia" w:hAnsiTheme="minorEastAsia"/>
                <w:bCs/>
                <w:kern w:val="36"/>
                <w:szCs w:val="21"/>
              </w:rPr>
              <w:t>心智解读与社会交往能力训练工具包的构成：</w:t>
            </w:r>
          </w:p>
          <w:p>
            <w:pPr>
              <w:rPr>
                <w:rFonts w:cs="Arial" w:asciiTheme="minorEastAsia" w:hAnsiTheme="minorEastAsia"/>
                <w:bCs/>
                <w:kern w:val="36"/>
                <w:szCs w:val="21"/>
              </w:rPr>
            </w:pPr>
            <w:r>
              <w:rPr>
                <w:rFonts w:hint="eastAsia" w:cs="Arial" w:asciiTheme="minorEastAsia" w:hAnsiTheme="minorEastAsia"/>
                <w:bCs/>
                <w:kern w:val="36"/>
                <w:szCs w:val="21"/>
              </w:rPr>
              <w:t>1）《心智解读与社会交往训练教程》1本，包括</w:t>
            </w:r>
          </w:p>
          <w:p>
            <w:pPr>
              <w:rPr>
                <w:rFonts w:asciiTheme="minorEastAsia" w:hAnsiTheme="minorEastAsia"/>
                <w:b/>
                <w:bCs/>
                <w:szCs w:val="21"/>
              </w:rPr>
            </w:pPr>
            <w:r>
              <w:rPr>
                <w:rFonts w:hint="eastAsia" w:cs="Arial" w:asciiTheme="minorEastAsia" w:hAnsiTheme="minorEastAsia"/>
                <w:bCs/>
                <w:kern w:val="36"/>
                <w:szCs w:val="21"/>
              </w:rPr>
              <w:t>2）配套道具箱1个，包括：音像资料U盘，不同情绪的表情图片、情景图片、系列故事卡片，以及人偶、生日蛋糕、过家家玩具、车模玩具、声光锤等玩具组成。</w:t>
            </w:r>
          </w:p>
        </w:tc>
        <w:tc>
          <w:tcPr>
            <w:tcW w:w="73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pPr>
            <w:r>
              <w:drawing>
                <wp:inline distT="0" distB="0" distL="0" distR="0">
                  <wp:extent cx="1229360" cy="790575"/>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1230862" cy="79126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14910" w:type="dxa"/>
            <w:gridSpan w:val="9"/>
            <w:shd w:val="clear" w:color="auto" w:fill="auto"/>
            <w:tcMar>
              <w:top w:w="15" w:type="dxa"/>
              <w:left w:w="15" w:type="dxa"/>
              <w:right w:w="15" w:type="dxa"/>
            </w:tcMar>
            <w:vAlign w:val="center"/>
          </w:tcPr>
          <w:p>
            <w:pPr>
              <w:adjustRightInd w:val="0"/>
              <w:snapToGrid w:val="0"/>
              <w:jc w:val="center"/>
              <w:rPr>
                <w:rFonts w:ascii="宋体" w:hAnsi="宋体" w:cs="宋体"/>
                <w:color w:val="000000"/>
                <w:szCs w:val="21"/>
              </w:rPr>
            </w:pPr>
            <w:r>
              <w:rPr>
                <w:rFonts w:hint="eastAsia" w:ascii="宋体" w:hAnsi="宋体" w:cs="宋体"/>
                <w:b/>
                <w:color w:val="000000"/>
                <w:kern w:val="0"/>
                <w:szCs w:val="21"/>
                <w:lang w:bidi="ar"/>
              </w:rPr>
              <w:t>三、</w:t>
            </w:r>
            <w:r>
              <w:rPr>
                <w:rFonts w:hint="eastAsia" w:asciiTheme="minorEastAsia" w:hAnsiTheme="minorEastAsia"/>
                <w:b/>
                <w:sz w:val="24"/>
                <w:szCs w:val="24"/>
              </w:rPr>
              <w:t>实用生活技能训练区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Theme="minorEastAsia" w:hAnsiTheme="minorEastAsia"/>
                <w:szCs w:val="21"/>
              </w:rPr>
              <w:t>生活能力自助仪</w:t>
            </w:r>
          </w:p>
        </w:tc>
        <w:tc>
          <w:tcPr>
            <w:tcW w:w="8255" w:type="dxa"/>
            <w:tcMar>
              <w:top w:w="15" w:type="dxa"/>
              <w:left w:w="15" w:type="dxa"/>
              <w:right w:w="15" w:type="dxa"/>
            </w:tcMar>
            <w:vAlign w:val="center"/>
          </w:tcPr>
          <w:p>
            <w:pPr>
              <w:rPr>
                <w:rFonts w:asciiTheme="minorEastAsia" w:hAnsiTheme="minorEastAsia"/>
                <w:szCs w:val="21"/>
              </w:rPr>
            </w:pPr>
            <w:r>
              <w:rPr>
                <w:rFonts w:hint="eastAsia" w:asciiTheme="minorEastAsia" w:hAnsiTheme="minorEastAsia"/>
                <w:szCs w:val="21"/>
              </w:rPr>
              <w:t>生活能力自助仪用于帮助中小学生及发展落后的特殊儿童，培养生活自理能力，养成良好的生活习惯；培养学生良好的行为习惯，强调“遵守秩序，讲究公德”；提高学生之间友好交往的能力，促进良好人际关系的形成。</w:t>
            </w:r>
          </w:p>
          <w:p>
            <w:pPr>
              <w:rPr>
                <w:rFonts w:asciiTheme="minorEastAsia" w:hAnsiTheme="minorEastAsia"/>
                <w:szCs w:val="21"/>
              </w:rPr>
            </w:pPr>
            <w:r>
              <w:rPr>
                <w:rFonts w:hint="eastAsia" w:asciiTheme="minorEastAsia" w:hAnsiTheme="minorEastAsia"/>
                <w:szCs w:val="21"/>
              </w:rPr>
              <w:t>系统共包括衣、食、住、行、人际交往、学校生活六大生活主题，每个主题包括十个方面以上的内容，从儿童的衣食住行，至朋友交际、学校生活等各个方面。教学内容包括真人教学视频或卡通动画等多样形式，进行循环或者随机自动播放。</w:t>
            </w:r>
          </w:p>
          <w:p>
            <w:pPr>
              <w:rPr>
                <w:rFonts w:asciiTheme="minorEastAsia" w:hAnsiTheme="minorEastAsia"/>
                <w:szCs w:val="21"/>
              </w:rPr>
            </w:pPr>
            <w:r>
              <w:rPr>
                <w:rFonts w:hint="eastAsia" w:asciiTheme="minorEastAsia" w:hAnsiTheme="minorEastAsia"/>
                <w:szCs w:val="21"/>
              </w:rPr>
              <w:t>内容上，衣模块包括如何穿、脱衣服，如何洗衣服，如何使用洗衣机洗衣服，如何刷鞋等和衣相关的生活内容。食包括如何文明用餐、如何使用微波炉、如何使用冰箱、如何煮面、如何使用筷子等与吃相关的基本生活能力。住包括如何使用热水壶、如何叠被子、如何安全用电、如何刷马桶、如何刷牙等在家庭生活中经常需要的能力。行包括如何安全过马路、如何乘坐地铁、如何乘坐电梯、如何乘坐公交车、如何乘坐飞机等交通出行方面需要具备的能力。学校生活包括如何查询图书、如何握笔、如何背书包、如何整理书包、如何系红领巾等在学校生活中需要自己处理的事情。人际交往包括如何关心他人、如何称赞他人、如何介绍他人、如何礼貌待客、做客等社交方面的能力。</w:t>
            </w:r>
          </w:p>
          <w:p>
            <w:pPr>
              <w:rPr>
                <w:rFonts w:asciiTheme="minorEastAsia" w:hAnsiTheme="minorEastAsia"/>
                <w:szCs w:val="21"/>
              </w:rPr>
            </w:pPr>
            <w:r>
              <w:rPr>
                <w:rFonts w:hint="eastAsia" w:asciiTheme="minorEastAsia" w:hAnsiTheme="minorEastAsia"/>
                <w:szCs w:val="21"/>
              </w:rPr>
              <w:t>系统为开放式可扩充性系统，可随时添加新的生活能力相关的学习内容。</w:t>
            </w:r>
          </w:p>
          <w:p>
            <w:pPr>
              <w:widowControl/>
              <w:adjustRightInd w:val="0"/>
              <w:snapToGrid w:val="0"/>
              <w:jc w:val="left"/>
              <w:textAlignment w:val="center"/>
              <w:rPr>
                <w:rFonts w:ascii="宋体" w:hAnsi="宋体" w:cs="宋体"/>
                <w:color w:val="000000"/>
                <w:kern w:val="0"/>
                <w:szCs w:val="21"/>
                <w:lang w:bidi="ar"/>
              </w:rPr>
            </w:pPr>
            <w:r>
              <w:rPr>
                <w:rFonts w:hint="eastAsia" w:asciiTheme="minorEastAsia" w:hAnsiTheme="minorEastAsia"/>
                <w:szCs w:val="21"/>
              </w:rPr>
              <w:t>配有</w:t>
            </w:r>
            <w:r>
              <w:rPr>
                <w:rFonts w:asciiTheme="minorEastAsia" w:hAnsiTheme="minorEastAsia"/>
                <w:szCs w:val="21"/>
              </w:rPr>
              <w:t>20寸</w:t>
            </w:r>
            <w:r>
              <w:rPr>
                <w:rFonts w:hint="eastAsia" w:asciiTheme="minorEastAsia" w:hAnsiTheme="minorEastAsia"/>
                <w:szCs w:val="21"/>
              </w:rPr>
              <w:t>触控操作终端。</w:t>
            </w:r>
          </w:p>
        </w:tc>
        <w:tc>
          <w:tcPr>
            <w:tcW w:w="73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rPr>
                <w:rFonts w:asciiTheme="minorEastAsia" w:hAnsiTheme="minorEastAsia"/>
                <w:szCs w:val="21"/>
              </w:rPr>
              <w:drawing>
                <wp:inline distT="0" distB="0" distL="0" distR="0">
                  <wp:extent cx="1171575" cy="684530"/>
                  <wp:effectExtent l="0" t="0" r="0" b="127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1"/>
                          <a:stretch>
                            <a:fillRect/>
                          </a:stretch>
                        </pic:blipFill>
                        <pic:spPr>
                          <a:xfrm>
                            <a:off x="0" y="0"/>
                            <a:ext cx="1175180" cy="686671"/>
                          </a:xfrm>
                          <a:prstGeom prst="rect">
                            <a:avLst/>
                          </a:prstGeom>
                        </pic:spPr>
                      </pic:pic>
                    </a:graphicData>
                  </a:graphic>
                </wp:inline>
              </w:drawing>
            </w:r>
          </w:p>
          <w:p>
            <w:pPr>
              <w:rPr>
                <w:rFonts w:ascii="宋体" w:hAnsi="宋体" w:cs="宋体"/>
                <w:szCs w:val="21"/>
              </w:rPr>
            </w:pPr>
          </w:p>
          <w:p>
            <w:pPr>
              <w:rPr>
                <w:rFonts w:ascii="宋体" w:hAnsi="宋体" w:cs="宋体"/>
                <w:szCs w:val="21"/>
              </w:rPr>
            </w:pPr>
            <w:r>
              <w:rPr>
                <w:rFonts w:asciiTheme="minorEastAsia" w:hAnsiTheme="minorEastAsia" w:cstheme="minorEastAsia"/>
                <w:szCs w:val="21"/>
              </w:rPr>
              <w:drawing>
                <wp:inline distT="0" distB="0" distL="0" distR="0">
                  <wp:extent cx="1226820" cy="685800"/>
                  <wp:effectExtent l="0" t="0" r="0" b="0"/>
                  <wp:docPr id="2048" name="图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图片 20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29827" cy="687303"/>
                          </a:xfrm>
                          <a:prstGeom prst="rect">
                            <a:avLst/>
                          </a:prstGeom>
                          <a:noFill/>
                        </pic:spPr>
                      </pic:pic>
                    </a:graphicData>
                  </a:graphic>
                </wp:inline>
              </w:drawing>
            </w:r>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2</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Theme="minorEastAsia" w:hAnsiTheme="minorEastAsia"/>
                <w:szCs w:val="21"/>
              </w:rPr>
              <w:t>安全教育自助仪</w:t>
            </w:r>
          </w:p>
        </w:tc>
        <w:tc>
          <w:tcPr>
            <w:tcW w:w="8255" w:type="dxa"/>
            <w:tcMar>
              <w:top w:w="15" w:type="dxa"/>
              <w:left w:w="15" w:type="dxa"/>
              <w:right w:w="15" w:type="dxa"/>
            </w:tcMar>
            <w:vAlign w:val="center"/>
          </w:tcPr>
          <w:p>
            <w:pPr>
              <w:rPr>
                <w:rFonts w:asciiTheme="minorEastAsia" w:hAnsiTheme="minorEastAsia"/>
                <w:szCs w:val="21"/>
              </w:rPr>
            </w:pPr>
            <w:r>
              <w:rPr>
                <w:rFonts w:hint="eastAsia" w:asciiTheme="minorEastAsia" w:hAnsiTheme="minorEastAsia"/>
                <w:szCs w:val="21"/>
              </w:rPr>
              <w:t>安全教育自助仪是针对中小学生及发展落后的特殊儿童所研发的一款教育类产品。</w:t>
            </w:r>
          </w:p>
          <w:p>
            <w:pPr>
              <w:rPr>
                <w:rFonts w:asciiTheme="minorEastAsia" w:hAnsiTheme="minorEastAsia"/>
                <w:szCs w:val="21"/>
              </w:rPr>
            </w:pPr>
            <w:r>
              <w:rPr>
                <w:rFonts w:hint="eastAsia" w:asciiTheme="minorEastAsia" w:hAnsiTheme="minorEastAsia"/>
                <w:szCs w:val="21"/>
              </w:rPr>
              <w:t>系统包括防火安全、用电安全、交通安全、饮食安全、学校安全、家居安全、户外活动安全、卫生防病8个安全教育大模块。防火安全中包含如何预防火灾、灭火知识、火灾中如何自救等内容；用电安全包括安全使用电器、触电急救等内容；交通安全包括骑车安全、乘车安全、水上交通安全等内容；饮食安全包括食物的营养以及食物安全常识等内容；学校安全主要包括楼道安全、课堂安全、教具安全等内容；家居安全主要包括安全使用煤气、家庭安全防护等内容；户外活动安全主要包括外出游玩、聚会安全等；卫生防病主要包括预防传染病、预防感冒等内容。共包括不低于70个安全教育教学内容，内容丰富，内容有动画呈现，更有实物演示，画面生动形象，教学准确精炼。使用时可以对教学内容进行实时选择，挑选自己想看的内容。8</w:t>
            </w:r>
            <w:r>
              <w:rPr>
                <w:rFonts w:hint="eastAsia" w:asciiTheme="minorEastAsia" w:hAnsiTheme="minorEastAsia"/>
                <w:szCs w:val="21"/>
                <w:lang w:val="en-US" w:eastAsia="zh-CN"/>
              </w:rPr>
              <w:t xml:space="preserve"> </w:t>
            </w:r>
            <w:r>
              <w:rPr>
                <w:rFonts w:hint="eastAsia" w:asciiTheme="minorEastAsia" w:hAnsiTheme="minorEastAsia"/>
                <w:szCs w:val="21"/>
              </w:rPr>
              <w:t>个主题的教学内容可循环、可随机播放、也可选择单个播放进行针对性的教学。</w:t>
            </w:r>
          </w:p>
          <w:p>
            <w:pPr>
              <w:rPr>
                <w:rFonts w:asciiTheme="minorEastAsia" w:hAnsiTheme="minorEastAsia"/>
                <w:szCs w:val="21"/>
              </w:rPr>
            </w:pPr>
            <w:r>
              <w:rPr>
                <w:rFonts w:hint="eastAsia" w:asciiTheme="minorEastAsia" w:hAnsiTheme="minorEastAsia"/>
                <w:szCs w:val="21"/>
              </w:rPr>
              <w:t>系统包括配套的管理后台系统，支持根据需要随时添加新的学习内容,每个学习内容都包括相应的海报封面、图标和具体内容文件等。</w:t>
            </w:r>
          </w:p>
          <w:p>
            <w:pPr>
              <w:widowControl/>
              <w:adjustRightInd w:val="0"/>
              <w:snapToGrid w:val="0"/>
              <w:jc w:val="left"/>
              <w:textAlignment w:val="center"/>
              <w:rPr>
                <w:rFonts w:ascii="宋体" w:hAnsi="宋体" w:cs="宋体"/>
                <w:color w:val="000000"/>
                <w:kern w:val="0"/>
                <w:szCs w:val="21"/>
                <w:lang w:bidi="ar"/>
              </w:rPr>
            </w:pPr>
            <w:r>
              <w:rPr>
                <w:rFonts w:hint="eastAsia" w:asciiTheme="minorEastAsia" w:hAnsiTheme="minorEastAsia"/>
                <w:szCs w:val="21"/>
              </w:rPr>
              <w:t>配有</w:t>
            </w:r>
            <w:r>
              <w:rPr>
                <w:rFonts w:asciiTheme="minorEastAsia" w:hAnsiTheme="minorEastAsia"/>
                <w:szCs w:val="21"/>
              </w:rPr>
              <w:t>20寸</w:t>
            </w:r>
            <w:r>
              <w:rPr>
                <w:rFonts w:hint="eastAsia" w:asciiTheme="minorEastAsia" w:hAnsiTheme="minorEastAsia"/>
                <w:szCs w:val="21"/>
              </w:rPr>
              <w:t>触控操作终端。</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rPr>
                <w:rFonts w:asciiTheme="minorEastAsia" w:hAnsiTheme="minorEastAsia"/>
                <w:szCs w:val="21"/>
              </w:rPr>
              <w:drawing>
                <wp:inline distT="0" distB="0" distL="0" distR="0">
                  <wp:extent cx="1169035" cy="7715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3"/>
                          <a:stretch>
                            <a:fillRect/>
                          </a:stretch>
                        </pic:blipFill>
                        <pic:spPr>
                          <a:xfrm>
                            <a:off x="0" y="0"/>
                            <a:ext cx="1174186" cy="774901"/>
                          </a:xfrm>
                          <a:prstGeom prst="rect">
                            <a:avLst/>
                          </a:prstGeom>
                        </pic:spPr>
                      </pic:pic>
                    </a:graphicData>
                  </a:graphic>
                </wp:inline>
              </w:drawing>
            </w:r>
          </w:p>
          <w:p>
            <w:pPr>
              <w:rPr>
                <w:rFonts w:asciiTheme="minorEastAsia" w:hAnsiTheme="minorEastAsia"/>
                <w:szCs w:val="21"/>
              </w:rPr>
            </w:pPr>
          </w:p>
          <w:p>
            <w:pPr>
              <w:jc w:val="center"/>
              <w:rPr>
                <w:rFonts w:ascii="宋体" w:hAnsi="宋体" w:cs="宋体"/>
                <w:szCs w:val="21"/>
              </w:rPr>
            </w:pPr>
            <w:r>
              <w:rPr>
                <w:rFonts w:asciiTheme="minorEastAsia" w:hAnsiTheme="minorEastAsia"/>
                <w:szCs w:val="21"/>
              </w:rPr>
              <w:drawing>
                <wp:inline distT="0" distB="0" distL="0" distR="0">
                  <wp:extent cx="982345" cy="552450"/>
                  <wp:effectExtent l="0" t="0" r="825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4"/>
                          <a:stretch>
                            <a:fillRect/>
                          </a:stretch>
                        </pic:blipFill>
                        <pic:spPr>
                          <a:xfrm>
                            <a:off x="0" y="0"/>
                            <a:ext cx="983474" cy="552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14910" w:type="dxa"/>
            <w:gridSpan w:val="9"/>
            <w:tcMar>
              <w:top w:w="15" w:type="dxa"/>
              <w:left w:w="15" w:type="dxa"/>
              <w:right w:w="15" w:type="dxa"/>
            </w:tcMar>
            <w:vAlign w:val="center"/>
          </w:tcPr>
          <w:p>
            <w:pPr>
              <w:adjustRightInd w:val="0"/>
              <w:snapToGrid w:val="0"/>
              <w:jc w:val="center"/>
              <w:rPr>
                <w:rFonts w:ascii="宋体" w:hAnsi="宋体" w:cs="宋体"/>
                <w:color w:val="000000"/>
                <w:sz w:val="24"/>
                <w:szCs w:val="24"/>
              </w:rPr>
            </w:pPr>
            <w:r>
              <w:rPr>
                <w:rFonts w:hint="eastAsia" w:ascii="宋体" w:hAnsi="宋体" w:cs="宋体"/>
                <w:b/>
                <w:bCs/>
                <w:color w:val="000000"/>
                <w:kern w:val="0"/>
                <w:sz w:val="24"/>
                <w:szCs w:val="24"/>
                <w:lang w:bidi="ar"/>
              </w:rPr>
              <w:t>四、认知康复训练区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蒙台梭利教具</w:t>
            </w:r>
          </w:p>
        </w:tc>
        <w:tc>
          <w:tcPr>
            <w:tcW w:w="8255" w:type="dxa"/>
            <w:tcMar>
              <w:top w:w="15" w:type="dxa"/>
              <w:left w:w="15" w:type="dxa"/>
              <w:right w:w="15" w:type="dxa"/>
            </w:tcMar>
            <w:vAlign w:val="center"/>
          </w:tcPr>
          <w:p>
            <w:pPr>
              <w:widowControl/>
              <w:adjustRightInd w:val="0"/>
              <w:snapToGrid w:val="0"/>
              <w:jc w:val="both"/>
              <w:textAlignment w:val="center"/>
              <w:rPr>
                <w:rFonts w:ascii="宋体" w:hAnsi="宋体" w:cs="宋体"/>
                <w:color w:val="000000"/>
                <w:kern w:val="0"/>
                <w:szCs w:val="21"/>
                <w:lang w:bidi="ar"/>
              </w:rPr>
            </w:pPr>
            <w:r>
              <w:rPr>
                <w:rFonts w:hint="eastAsia" w:ascii="宋体" w:hAnsi="宋体" w:cs="宋体"/>
                <w:color w:val="000000"/>
                <w:kern w:val="0"/>
                <w:szCs w:val="21"/>
                <w:lang w:bidi="ar"/>
              </w:rPr>
              <w:t>蒙台梭利把上课定义为工作，孩子的工作。工作是人性的一种体现。孩子跟成人一样，没有工作心中不安，让孩子去选取感兴趣的材料，去亲自动手操作，在摆弄过程中，自我探索、自我学习、自我发现、自我构建、自我发展。将难以理解的数学知识加以分析统合，认识逻辑性的数量概念。它给孩子们带来心智空间的拓展、天性的激发和生命健康发展，将对孩子们的一生产生深远的影响。</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蒙台梭利教具88件套装作用：</w:t>
            </w:r>
          </w:p>
          <w:p>
            <w:pPr>
              <w:widowControl/>
              <w:adjustRightInd w:val="0"/>
              <w:snapToGrid w:val="0"/>
              <w:jc w:val="both"/>
              <w:textAlignment w:val="center"/>
              <w:rPr>
                <w:rFonts w:ascii="宋体" w:hAnsi="宋体" w:cs="宋体"/>
                <w:color w:val="000000"/>
                <w:kern w:val="0"/>
                <w:szCs w:val="21"/>
                <w:lang w:bidi="ar"/>
              </w:rPr>
            </w:pPr>
            <w:r>
              <w:rPr>
                <w:rFonts w:hint="eastAsia" w:ascii="宋体" w:hAnsi="宋体" w:cs="宋体"/>
                <w:color w:val="000000"/>
                <w:kern w:val="0"/>
                <w:szCs w:val="21"/>
                <w:lang w:bidi="ar"/>
              </w:rPr>
              <w:t>一、感官教具：1、训练儿童各种感官，如视觉、听觉、触觉、嗅觉。2、训练儿童辨别力及手眼协调能力。3、训练儿童观察、分类能力，培养注意力。4、建立几何图形意识，自由拼组。5、培养儿童审美能力。6、培养儿童学习兴趣及求知欲望。包含插座圆柱体，彩色圆柱，长棒，棕色梯，粉红塔等，共23件。</w:t>
            </w:r>
          </w:p>
          <w:p>
            <w:pPr>
              <w:widowControl/>
              <w:adjustRightInd w:val="0"/>
              <w:snapToGrid w:val="0"/>
              <w:jc w:val="both"/>
              <w:textAlignment w:val="center"/>
              <w:rPr>
                <w:rFonts w:ascii="宋体" w:hAnsi="宋体" w:cs="宋体"/>
                <w:color w:val="000000"/>
                <w:kern w:val="0"/>
                <w:szCs w:val="21"/>
                <w:lang w:bidi="ar"/>
              </w:rPr>
            </w:pPr>
            <w:r>
              <w:rPr>
                <w:rFonts w:hint="eastAsia" w:ascii="宋体" w:hAnsi="宋体" w:cs="宋体"/>
                <w:color w:val="000000"/>
                <w:kern w:val="0"/>
                <w:szCs w:val="21"/>
                <w:lang w:bidi="ar"/>
              </w:rPr>
              <w:t>二、数学教育教具：通过操作活动，将难以理解的数学知识具体化、形象化、使儿童易于理解。1、培养儿童初步的数量概念。2、培养儿童逻辑思维能力，理解能力，判断能力。3、进行加、减、乘、除运算。4、学习空间、时间概念。5、学习守恒。包含塞根板，1-100连续数板，加减法板，数棒，邮票游戏，二倍数，分数小人等，共41件。</w:t>
            </w:r>
          </w:p>
          <w:p>
            <w:pPr>
              <w:widowControl/>
              <w:adjustRightInd w:val="0"/>
              <w:snapToGrid w:val="0"/>
              <w:jc w:val="both"/>
              <w:textAlignment w:val="center"/>
              <w:rPr>
                <w:rFonts w:ascii="宋体" w:hAnsi="宋体" w:cs="宋体"/>
                <w:color w:val="000000"/>
                <w:kern w:val="0"/>
                <w:szCs w:val="21"/>
                <w:lang w:bidi="ar"/>
              </w:rPr>
            </w:pPr>
            <w:r>
              <w:rPr>
                <w:rFonts w:hint="eastAsia" w:ascii="宋体" w:hAnsi="宋体" w:cs="宋体"/>
                <w:color w:val="000000"/>
                <w:kern w:val="0"/>
                <w:szCs w:val="21"/>
                <w:lang w:bidi="ar"/>
              </w:rPr>
              <w:t>三、语文教育教具：1、培养儿童认读能力。2、培养儿童书写能力。3、培养儿童听、说能力。4、欣赏文学能力。5、培养儿童早期阅读。6、培养儿童良好的思想道德品质。包含双字母砂字板，活动字母箱，印刷字母卡等，共5件。</w:t>
            </w:r>
          </w:p>
          <w:p>
            <w:pPr>
              <w:widowControl/>
              <w:adjustRightInd w:val="0"/>
              <w:snapToGrid w:val="0"/>
              <w:jc w:val="both"/>
              <w:textAlignment w:val="center"/>
              <w:rPr>
                <w:rFonts w:ascii="宋体" w:hAnsi="宋体" w:cs="宋体"/>
                <w:color w:val="000000"/>
                <w:kern w:val="0"/>
                <w:szCs w:val="21"/>
                <w:lang w:bidi="ar"/>
              </w:rPr>
            </w:pPr>
            <w:r>
              <w:rPr>
                <w:rFonts w:hint="eastAsia" w:ascii="宋体" w:hAnsi="宋体" w:cs="宋体"/>
                <w:color w:val="000000"/>
                <w:kern w:val="0"/>
                <w:szCs w:val="21"/>
                <w:lang w:bidi="ar"/>
              </w:rPr>
              <w:t>四、文化科学教育教具：科学文化教育：1、培养儿童爱科学的情感。2、培养儿童掌握认识事物的方法。3、培养儿童的好奇心、求知欲。4、引导儿童接触周围世界，增强环保意识，获得科学经验。5、学习民族文化，培养民族自豪感。包含中国地图嵌板，亚洲地图嵌板，世界洲际地图嵌板，活动时钟，八大行星嵌板等，共16件。</w:t>
            </w:r>
          </w:p>
          <w:p>
            <w:pPr>
              <w:widowControl/>
              <w:adjustRightInd w:val="0"/>
              <w:snapToGrid w:val="0"/>
              <w:jc w:val="both"/>
              <w:textAlignment w:val="center"/>
              <w:rPr>
                <w:rFonts w:ascii="宋体" w:hAnsi="宋体" w:cs="宋体"/>
                <w:color w:val="000000"/>
                <w:kern w:val="0"/>
                <w:szCs w:val="21"/>
                <w:lang w:bidi="ar"/>
              </w:rPr>
            </w:pPr>
            <w:r>
              <w:rPr>
                <w:rFonts w:hint="eastAsia" w:ascii="宋体" w:hAnsi="宋体" w:cs="宋体"/>
                <w:color w:val="000000"/>
                <w:kern w:val="0"/>
                <w:szCs w:val="21"/>
                <w:lang w:bidi="ar"/>
              </w:rPr>
              <w:t>五、日常生活教育教具：1、培养儿童掌握基本生活技能，养成良好的生活习惯。2、培养儿童独立性、自主性、专注力、手眼协调能力、自信心。3、引导儿童学习礼貌用语。4、培养儿童大小肌肉的灵活性。5、培养儿童初步的自控能力。6、培养儿童交往、合作意识。7、培养儿童健康的情绪、情感。8、培养儿童初步的责任感，促进儿童个性、社会性的发展。9、培养儿童社会适应能力，学会做事，学会生活。包含二指抓，工作地毯，衣饰及衣饰架。</w:t>
            </w:r>
          </w:p>
          <w:p>
            <w:pPr>
              <w:widowControl/>
              <w:adjustRightInd w:val="0"/>
              <w:snapToGrid w:val="0"/>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五大类共88件。</w:t>
            </w:r>
          </w:p>
          <w:p>
            <w:pPr>
              <w:widowControl/>
              <w:adjustRightInd w:val="0"/>
              <w:snapToGrid w:val="0"/>
              <w:jc w:val="left"/>
              <w:textAlignment w:val="center"/>
              <w:rPr>
                <w:rFonts w:ascii="宋体" w:hAnsi="宋体" w:cs="宋体"/>
                <w:color w:val="000000"/>
                <w:szCs w:val="21"/>
              </w:rPr>
            </w:pPr>
            <w:r>
              <w:rPr>
                <w:rFonts w:hint="eastAsia" w:ascii="宋体" w:hAnsi="宋体" w:cs="宋体"/>
                <w:color w:val="000000"/>
                <w:kern w:val="0"/>
                <w:szCs w:val="21"/>
                <w:lang w:bidi="ar"/>
              </w:rPr>
              <w:t>含蒙台梭利柜4个。</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drawing>
                <wp:inline distT="0" distB="0" distL="0" distR="0">
                  <wp:extent cx="1243330" cy="96202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5"/>
                          <a:stretch>
                            <a:fillRect/>
                          </a:stretch>
                        </pic:blipFill>
                        <pic:spPr>
                          <a:xfrm>
                            <a:off x="0" y="0"/>
                            <a:ext cx="1244910" cy="96286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蒙台梭利教学应用仪</w:t>
            </w:r>
          </w:p>
        </w:tc>
        <w:tc>
          <w:tcPr>
            <w:tcW w:w="8255" w:type="dxa"/>
            <w:tcMar>
              <w:top w:w="15" w:type="dxa"/>
              <w:left w:w="15" w:type="dxa"/>
              <w:right w:w="15" w:type="dxa"/>
            </w:tcMar>
            <w:vAlign w:val="center"/>
          </w:tcPr>
          <w:p>
            <w:pPr>
              <w:adjustRightInd w:val="0"/>
              <w:snapToGrid w:val="0"/>
              <w:jc w:val="left"/>
              <w:rPr>
                <w:rFonts w:ascii="宋体" w:hAnsi="宋体" w:cs="宋体"/>
                <w:b/>
                <w:color w:val="000000"/>
                <w:szCs w:val="21"/>
              </w:rPr>
            </w:pPr>
            <w:r>
              <w:rPr>
                <w:rFonts w:hint="eastAsia" w:ascii="宋体" w:hAnsi="宋体" w:cs="宋体"/>
                <w:b/>
                <w:color w:val="000000"/>
                <w:szCs w:val="21"/>
              </w:rPr>
              <w:t>软件具有国家版权局颁发的软件著作权登记证书。</w:t>
            </w:r>
          </w:p>
          <w:p>
            <w:pPr>
              <w:adjustRightInd w:val="0"/>
              <w:snapToGrid w:val="0"/>
              <w:jc w:val="left"/>
              <w:rPr>
                <w:rFonts w:ascii="宋体" w:hAnsi="宋体" w:cs="宋体"/>
                <w:b/>
                <w:color w:val="000000"/>
                <w:szCs w:val="21"/>
              </w:rPr>
            </w:pPr>
            <w:r>
              <w:rPr>
                <w:rFonts w:hint="eastAsia" w:ascii="宋体" w:hAnsi="宋体" w:cs="宋体"/>
                <w:b/>
                <w:color w:val="000000"/>
                <w:szCs w:val="21"/>
              </w:rPr>
              <w:t>软件具有省级或国家级检测机构出具的软件产品登记测试报告。</w:t>
            </w:r>
          </w:p>
          <w:p>
            <w:pPr>
              <w:adjustRightInd w:val="0"/>
              <w:snapToGrid w:val="0"/>
              <w:jc w:val="both"/>
              <w:rPr>
                <w:rFonts w:ascii="宋体" w:hAnsi="宋体" w:cs="宋体"/>
                <w:color w:val="000000"/>
                <w:szCs w:val="21"/>
              </w:rPr>
            </w:pPr>
            <w:r>
              <w:rPr>
                <w:rFonts w:hint="eastAsia" w:ascii="宋体" w:hAnsi="宋体" w:cs="宋体"/>
                <w:color w:val="000000"/>
                <w:szCs w:val="21"/>
              </w:rPr>
              <w:t>蒙台梭利教学应用仪由蒙台梭利教学应用系统及其嵌入式终端配套组成。蒙台梭利教学应用系统以蒙台梭利教学理论为指导，系统提供了全系列的蒙台梭利教具的介绍、配套的教学课程内容及教案还有教学指导视频和相关资源。可以辅助指导老师迅速学习掌握蒙台梭利的理论并开展实践应用。</w:t>
            </w:r>
          </w:p>
          <w:p>
            <w:pPr>
              <w:adjustRightInd w:val="0"/>
              <w:snapToGrid w:val="0"/>
              <w:jc w:val="both"/>
              <w:rPr>
                <w:rFonts w:ascii="宋体" w:hAnsi="宋体" w:cs="宋体"/>
                <w:color w:val="000000"/>
                <w:szCs w:val="21"/>
              </w:rPr>
            </w:pPr>
            <w:r>
              <w:rPr>
                <w:rFonts w:hint="eastAsia" w:ascii="宋体" w:hAnsi="宋体" w:cs="宋体"/>
                <w:color w:val="000000"/>
                <w:szCs w:val="21"/>
              </w:rPr>
              <w:t>1、蒙台梭利教学应用系统由教学理念、量表评估、教具介绍、教学课程、教学视频、相关资源及工具等核心功能模块组成。</w:t>
            </w:r>
          </w:p>
          <w:p>
            <w:pPr>
              <w:adjustRightInd w:val="0"/>
              <w:snapToGrid w:val="0"/>
              <w:jc w:val="both"/>
              <w:rPr>
                <w:rFonts w:ascii="宋体" w:hAnsi="宋体" w:cs="宋体"/>
                <w:color w:val="000000"/>
                <w:szCs w:val="21"/>
              </w:rPr>
            </w:pPr>
            <w:r>
              <w:rPr>
                <w:rFonts w:hint="eastAsia" w:ascii="宋体" w:hAnsi="宋体" w:cs="宋体"/>
                <w:color w:val="000000"/>
                <w:szCs w:val="21"/>
              </w:rPr>
              <w:t>2、蒙台梭利评估包括人际关系及社会性发展、动作能力、日常生活教育、感官教育、语文教育、文化教育等多维度的评估内容。评估支持完整所有维度一次进行评估生成完整报告，也可选择某一具体维度进行评估并生成单一维度评估报告。</w:t>
            </w:r>
          </w:p>
          <w:p>
            <w:pPr>
              <w:adjustRightInd w:val="0"/>
              <w:snapToGrid w:val="0"/>
              <w:jc w:val="both"/>
              <w:rPr>
                <w:rFonts w:ascii="宋体" w:hAnsi="宋体" w:cs="宋体"/>
                <w:color w:val="000000"/>
                <w:szCs w:val="21"/>
              </w:rPr>
            </w:pPr>
            <w:r>
              <w:rPr>
                <w:rFonts w:hint="eastAsia" w:ascii="宋体" w:hAnsi="宋体" w:cs="宋体"/>
                <w:color w:val="000000"/>
                <w:szCs w:val="21"/>
              </w:rPr>
              <w:t>3、蒙台梭利系统教具部分包括感官教育、科学文化、日常生活、数学教育、语言教育等不同维度下，超过150种专业教具的详细介绍。教具包括且不限于插座圆柱体、触觉板、神秘袋、布盒、压力筒、动物卡片、公鸡嵌板、非洲地图嵌板、化石标本、开锁板、水果配对、几何图形版、心算盒、日历表、拼音结构等。每一个教具都具体介绍了所属类别、教具的构成、教具的直接间接目的以及演示操作步骤和插图，系统还提供了最常用的88件套教具快速筛选及常用教具收藏和教具清单导出的功能。</w:t>
            </w:r>
          </w:p>
          <w:p>
            <w:pPr>
              <w:adjustRightInd w:val="0"/>
              <w:snapToGrid w:val="0"/>
              <w:jc w:val="both"/>
              <w:rPr>
                <w:rFonts w:ascii="宋体" w:hAnsi="宋体" w:cs="宋体"/>
                <w:color w:val="000000"/>
                <w:szCs w:val="21"/>
              </w:rPr>
            </w:pPr>
            <w:r>
              <w:rPr>
                <w:rFonts w:hint="eastAsia" w:ascii="宋体" w:hAnsi="宋体" w:cs="宋体"/>
                <w:color w:val="000000"/>
                <w:szCs w:val="21"/>
              </w:rPr>
              <w:t>4、系统教学课程部分提供了感官教育、人际关系与社会性发展、日常生活、数学教育、文化科学、语言教育等六大维度，超过100节教学课程的详细内容。课程内容包括且不限于嗅觉瓶、二项式、学会道歉、欢迎客人、穿衣服、叠布料、金色串珠、认识人民币、昆虫配对、神奇的镜子、猜猜我是谁、学习象形字等。每一个教案都具体介绍了所属维度、适合年龄、教具构成、活动目的、操作方法及注意事项。系统支持根据教案快速查找跳转对应所需要的教具介绍及按名称或类别进行快速查询筛选。</w:t>
            </w:r>
          </w:p>
          <w:p>
            <w:pPr>
              <w:adjustRightInd w:val="0"/>
              <w:snapToGrid w:val="0"/>
              <w:jc w:val="both"/>
              <w:rPr>
                <w:rFonts w:ascii="宋体" w:hAnsi="宋体" w:cs="宋体"/>
                <w:color w:val="000000"/>
                <w:szCs w:val="21"/>
              </w:rPr>
            </w:pPr>
            <w:r>
              <w:rPr>
                <w:rFonts w:hint="eastAsia" w:ascii="宋体" w:hAnsi="宋体" w:cs="宋体"/>
                <w:color w:val="000000"/>
                <w:szCs w:val="21"/>
              </w:rPr>
              <w:t>5、系统的教学视频包括感官、科学文化、日常、数学、语言五大维度数十个教学视频内容，包括且不限于蒙特梭利感官教育、感官教具、蒙特梭利科技文化教学、蒙台梭利自然科学教学、蒙特梭利日常生活、家庭中的蒙台梭利工作、蒙特梭利数学、蒙台梭利高级语言等。</w:t>
            </w:r>
          </w:p>
          <w:p>
            <w:pPr>
              <w:adjustRightInd w:val="0"/>
              <w:snapToGrid w:val="0"/>
              <w:jc w:val="both"/>
              <w:rPr>
                <w:rFonts w:ascii="宋体" w:hAnsi="宋体" w:cs="宋体"/>
                <w:color w:val="000000"/>
                <w:szCs w:val="21"/>
              </w:rPr>
            </w:pPr>
            <w:r>
              <w:rPr>
                <w:rFonts w:hint="eastAsia" w:ascii="宋体" w:hAnsi="宋体" w:cs="宋体"/>
                <w:color w:val="000000"/>
                <w:szCs w:val="21"/>
              </w:rPr>
              <w:t>6、系统提供超过一百种蒙台梭利相关的资源，包括教案、课件、图书、文献四大类，包括且不限于蒙台梭利感官教案、蒙台梭利及其教育思想学习目标、蒙台梭利儿童教育手册、蒙台梭利儿童工作思想的全面分析等内容。</w:t>
            </w:r>
          </w:p>
          <w:p>
            <w:pPr>
              <w:adjustRightInd w:val="0"/>
              <w:snapToGrid w:val="0"/>
              <w:jc w:val="left"/>
              <w:rPr>
                <w:rFonts w:ascii="宋体" w:hAnsi="宋体" w:cs="宋体"/>
                <w:color w:val="000000"/>
                <w:szCs w:val="21"/>
              </w:rPr>
            </w:pPr>
            <w:r>
              <w:rPr>
                <w:rFonts w:hint="eastAsia" w:ascii="宋体" w:hAnsi="宋体" w:cs="宋体"/>
                <w:color w:val="000000"/>
                <w:szCs w:val="21"/>
              </w:rPr>
              <w:t>配有嵌入式操作终端。</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08405" cy="695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6"/>
                          <a:stretch>
                            <a:fillRect/>
                          </a:stretch>
                        </pic:blipFill>
                        <pic:spPr>
                          <a:xfrm>
                            <a:off x="0" y="0"/>
                            <a:ext cx="1209538" cy="695935"/>
                          </a:xfrm>
                          <a:prstGeom prst="rect">
                            <a:avLst/>
                          </a:prstGeom>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drawing>
                <wp:inline distT="0" distB="0" distL="0" distR="0">
                  <wp:extent cx="1198880" cy="809625"/>
                  <wp:effectExtent l="0" t="0" r="127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7"/>
                          <a:stretch>
                            <a:fillRect/>
                          </a:stretch>
                        </pic:blipFill>
                        <pic:spPr>
                          <a:xfrm>
                            <a:off x="0" y="0"/>
                            <a:ext cx="1199991" cy="8103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注意力评估与训练仪</w:t>
            </w:r>
          </w:p>
        </w:tc>
        <w:tc>
          <w:tcPr>
            <w:tcW w:w="8255" w:type="dxa"/>
            <w:tcMar>
              <w:top w:w="15" w:type="dxa"/>
              <w:left w:w="15" w:type="dxa"/>
              <w:right w:w="15" w:type="dxa"/>
            </w:tcMar>
            <w:vAlign w:val="center"/>
          </w:tcPr>
          <w:p>
            <w:pPr>
              <w:adjustRightInd w:val="0"/>
              <w:snapToGrid w:val="0"/>
              <w:jc w:val="left"/>
              <w:rPr>
                <w:rFonts w:ascii="宋体" w:hAnsi="宋体" w:cs="宋体"/>
                <w:color w:val="000000"/>
                <w:szCs w:val="21"/>
              </w:rPr>
            </w:pPr>
            <w:r>
              <w:rPr>
                <w:rFonts w:hint="eastAsia" w:ascii="宋体" w:hAnsi="宋体" w:cs="宋体"/>
                <w:color w:val="000000"/>
                <w:szCs w:val="21"/>
              </w:rPr>
              <w:t>软件具有国家版权局颁发的软件著作权登记证书。</w:t>
            </w:r>
          </w:p>
          <w:p>
            <w:pPr>
              <w:adjustRightInd w:val="0"/>
              <w:snapToGrid w:val="0"/>
              <w:jc w:val="left"/>
              <w:rPr>
                <w:rFonts w:hint="eastAsia" w:ascii="宋体" w:hAnsi="宋体" w:cs="宋体"/>
                <w:color w:val="000000"/>
                <w:szCs w:val="21"/>
              </w:rPr>
            </w:pPr>
            <w:r>
              <w:rPr>
                <w:rFonts w:hint="eastAsia" w:ascii="宋体" w:hAnsi="宋体" w:cs="宋体"/>
                <w:color w:val="000000"/>
                <w:szCs w:val="21"/>
              </w:rPr>
              <w:t>软件具有国家认可的第三方软件测试机构出具的测试报告。（测试依据DB11/T 1012-2013《软件产品登记测试通用技术规范》或GB/T 25000.51-2016《系统与软件工程</w:t>
            </w:r>
            <w:r>
              <w:rPr>
                <w:rFonts w:hint="eastAsia" w:ascii="宋体" w:hAnsi="宋体" w:cs="宋体"/>
                <w:color w:val="000000"/>
                <w:szCs w:val="21"/>
                <w:lang w:val="en-US" w:eastAsia="zh-CN"/>
              </w:rPr>
              <w:t xml:space="preserve"> </w:t>
            </w:r>
            <w:r>
              <w:rPr>
                <w:rFonts w:hint="eastAsia" w:ascii="宋体" w:hAnsi="宋体" w:cs="宋体"/>
                <w:color w:val="000000"/>
                <w:szCs w:val="21"/>
              </w:rPr>
              <w:t>系统与软</w:t>
            </w:r>
          </w:p>
          <w:p>
            <w:pPr>
              <w:adjustRightInd w:val="0"/>
              <w:snapToGrid w:val="0"/>
              <w:jc w:val="left"/>
              <w:rPr>
                <w:rFonts w:hint="eastAsia" w:ascii="宋体" w:hAnsi="宋体" w:cs="宋体"/>
                <w:color w:val="000000"/>
                <w:szCs w:val="21"/>
              </w:rPr>
            </w:pPr>
            <w:r>
              <w:rPr>
                <w:rFonts w:hint="eastAsia" w:ascii="宋体" w:hAnsi="宋体" w:cs="宋体"/>
                <w:color w:val="000000"/>
                <w:szCs w:val="21"/>
              </w:rPr>
              <w:t>件质量要求和评价（SQuaRE）第51部分：就绪可用软件产品（RUSP）的质量要求和测试细</w:t>
            </w:r>
          </w:p>
          <w:p>
            <w:pPr>
              <w:adjustRightInd w:val="0"/>
              <w:snapToGrid w:val="0"/>
              <w:jc w:val="both"/>
              <w:rPr>
                <w:rFonts w:ascii="宋体" w:hAnsi="宋体" w:cs="宋体"/>
                <w:color w:val="000000"/>
                <w:szCs w:val="21"/>
              </w:rPr>
            </w:pPr>
            <w:r>
              <w:rPr>
                <w:rFonts w:hint="eastAsia" w:ascii="宋体" w:hAnsi="宋体" w:cs="宋体"/>
                <w:color w:val="000000"/>
                <w:szCs w:val="21"/>
              </w:rPr>
              <w:t>则》。</w:t>
            </w:r>
          </w:p>
          <w:p>
            <w:pPr>
              <w:adjustRightInd w:val="0"/>
              <w:snapToGrid w:val="0"/>
              <w:jc w:val="both"/>
              <w:rPr>
                <w:rFonts w:ascii="宋体" w:hAnsi="宋体" w:cs="宋体"/>
                <w:color w:val="000000"/>
                <w:szCs w:val="21"/>
              </w:rPr>
            </w:pPr>
            <w:r>
              <w:rPr>
                <w:rFonts w:hint="eastAsia" w:ascii="宋体" w:hAnsi="宋体" w:cs="宋体"/>
                <w:color w:val="000000"/>
                <w:szCs w:val="21"/>
              </w:rPr>
              <w:t>注意力评估与训练仪包含教师端和学生端两个平台。本产品从注意广度、注意稳定性、注意转移、注意分配四个维度来全面地评估与训练学生的注意力，并结合多元智能理论、潜能开发理论以及认知加工等相关理论，形成32个富有趣味性的训练游戏，在改善学生注意力的同时，促进学生的观察力、记忆力、手眼协调能力、反应速度等多方面能力的发展，并通过详细的数据统计来让学生了解到自己的成绩和进步。</w:t>
            </w:r>
          </w:p>
          <w:p>
            <w:pPr>
              <w:adjustRightInd w:val="0"/>
              <w:snapToGrid w:val="0"/>
              <w:jc w:val="left"/>
              <w:rPr>
                <w:rFonts w:ascii="宋体" w:hAnsi="宋体" w:cs="宋体"/>
                <w:color w:val="000000"/>
                <w:szCs w:val="21"/>
              </w:rPr>
            </w:pPr>
            <w:r>
              <w:rPr>
                <w:rFonts w:hint="eastAsia" w:ascii="宋体" w:hAnsi="宋体" w:cs="宋体"/>
                <w:color w:val="000000"/>
                <w:szCs w:val="21"/>
              </w:rPr>
              <w:t>教师端：</w:t>
            </w:r>
          </w:p>
          <w:p>
            <w:pPr>
              <w:adjustRightInd w:val="0"/>
              <w:snapToGrid w:val="0"/>
              <w:jc w:val="left"/>
              <w:rPr>
                <w:rFonts w:ascii="宋体" w:hAnsi="宋体" w:cs="宋体"/>
                <w:color w:val="000000"/>
                <w:szCs w:val="21"/>
              </w:rPr>
            </w:pPr>
            <w:r>
              <w:rPr>
                <w:rFonts w:hint="eastAsia" w:ascii="宋体" w:hAnsi="宋体" w:cs="宋体"/>
                <w:color w:val="000000"/>
                <w:szCs w:val="21"/>
              </w:rPr>
              <w:t>注意力评估与训练系统教师端包括训练须知、学生信息、评估管理、训练管理、个体报告、筛查统计及系统管理等模块。各模块功能介绍如下：</w:t>
            </w:r>
          </w:p>
          <w:p>
            <w:pPr>
              <w:adjustRightInd w:val="0"/>
              <w:snapToGrid w:val="0"/>
              <w:jc w:val="both"/>
              <w:rPr>
                <w:rFonts w:ascii="宋体" w:hAnsi="宋体" w:cs="宋体"/>
                <w:color w:val="000000"/>
                <w:szCs w:val="21"/>
              </w:rPr>
            </w:pPr>
            <w:r>
              <w:rPr>
                <w:rFonts w:hint="eastAsia" w:ascii="宋体" w:hAnsi="宋体" w:cs="宋体"/>
                <w:color w:val="000000"/>
                <w:szCs w:val="21"/>
              </w:rPr>
              <w:t>1、训练须知：可以了解注意力基本专业知识和系统中注意力4个维度32个训练方案的特点和训练设计理论依据。</w:t>
            </w:r>
          </w:p>
          <w:p>
            <w:pPr>
              <w:adjustRightInd w:val="0"/>
              <w:snapToGrid w:val="0"/>
              <w:jc w:val="left"/>
              <w:rPr>
                <w:rFonts w:ascii="宋体" w:hAnsi="宋体" w:cs="宋体"/>
                <w:color w:val="000000"/>
                <w:szCs w:val="21"/>
              </w:rPr>
            </w:pPr>
            <w:r>
              <w:rPr>
                <w:rFonts w:hint="eastAsia" w:ascii="宋体" w:hAnsi="宋体" w:cs="宋体"/>
                <w:color w:val="000000"/>
                <w:szCs w:val="21"/>
              </w:rPr>
              <w:t>2、学生信息：实现学生个人的基本信息的管理和维护。</w:t>
            </w:r>
          </w:p>
          <w:p>
            <w:pPr>
              <w:adjustRightInd w:val="0"/>
              <w:snapToGrid w:val="0"/>
              <w:jc w:val="left"/>
              <w:rPr>
                <w:rFonts w:ascii="宋体" w:hAnsi="宋体" w:cs="宋体"/>
                <w:color w:val="000000"/>
                <w:szCs w:val="21"/>
              </w:rPr>
            </w:pPr>
            <w:r>
              <w:rPr>
                <w:rFonts w:hint="eastAsia" w:ascii="宋体" w:hAnsi="宋体" w:cs="宋体"/>
                <w:color w:val="000000"/>
                <w:szCs w:val="21"/>
              </w:rPr>
              <w:t>3、评估管理：教师可以通过此模块详细了解评估测验内容，并根据学生的具体情况设计针对性的个体化测验，并通过测验情况掌握学生的具体情况。</w:t>
            </w:r>
          </w:p>
          <w:p>
            <w:pPr>
              <w:adjustRightInd w:val="0"/>
              <w:snapToGrid w:val="0"/>
              <w:jc w:val="both"/>
              <w:rPr>
                <w:rFonts w:ascii="宋体" w:hAnsi="宋体" w:cs="宋体"/>
                <w:color w:val="000000"/>
                <w:szCs w:val="21"/>
              </w:rPr>
            </w:pPr>
            <w:r>
              <w:rPr>
                <w:rFonts w:hint="eastAsia" w:ascii="宋体" w:hAnsi="宋体" w:cs="宋体"/>
                <w:color w:val="000000"/>
                <w:szCs w:val="21"/>
              </w:rPr>
              <w:t>4、训练管理：教师可以通过此模块详细了解每个训练方案的目标和方法，并能根据学生的测验情况制定个体化训练方案，还可以通过图表成绩、文字描述等记录并分析学生的训练进展情况，以便于统计分析和训练计划的及时调整。</w:t>
            </w:r>
          </w:p>
          <w:p>
            <w:pPr>
              <w:adjustRightInd w:val="0"/>
              <w:snapToGrid w:val="0"/>
              <w:jc w:val="left"/>
              <w:rPr>
                <w:rFonts w:ascii="宋体" w:hAnsi="宋体" w:cs="宋体"/>
                <w:color w:val="000000"/>
                <w:szCs w:val="21"/>
              </w:rPr>
            </w:pPr>
            <w:r>
              <w:rPr>
                <w:rFonts w:hint="eastAsia" w:ascii="宋体" w:hAnsi="宋体" w:cs="宋体"/>
                <w:color w:val="000000"/>
                <w:szCs w:val="21"/>
              </w:rPr>
              <w:t>5、个体报告：可以对学生个体测验的评估情况、训练效果和综合分析情况通过系统生成报告进行查看、编辑和分析等综合管理。</w:t>
            </w:r>
          </w:p>
          <w:p>
            <w:pPr>
              <w:adjustRightInd w:val="0"/>
              <w:snapToGrid w:val="0"/>
              <w:jc w:val="left"/>
              <w:rPr>
                <w:rFonts w:ascii="宋体" w:hAnsi="宋体" w:cs="宋体"/>
                <w:color w:val="000000"/>
                <w:szCs w:val="21"/>
              </w:rPr>
            </w:pPr>
            <w:r>
              <w:rPr>
                <w:rFonts w:hint="eastAsia" w:ascii="宋体" w:hAnsi="宋体" w:cs="宋体"/>
                <w:color w:val="000000"/>
                <w:szCs w:val="21"/>
              </w:rPr>
              <w:t>6、筛查统计：可生成班级、年级评估报告，帮助教师了解不同班级、年级的注意力发展的差异和变化趋势，以及整体的平均水平，并根据这些评估数据筛选出特定的对象。</w:t>
            </w:r>
          </w:p>
          <w:p>
            <w:pPr>
              <w:adjustRightInd w:val="0"/>
              <w:snapToGrid w:val="0"/>
              <w:jc w:val="left"/>
              <w:rPr>
                <w:rFonts w:ascii="宋体" w:hAnsi="宋体" w:cs="宋体"/>
                <w:color w:val="000000"/>
                <w:szCs w:val="21"/>
              </w:rPr>
            </w:pPr>
            <w:r>
              <w:rPr>
                <w:rFonts w:hint="eastAsia" w:ascii="宋体" w:hAnsi="宋体" w:cs="宋体"/>
                <w:color w:val="000000"/>
                <w:szCs w:val="21"/>
              </w:rPr>
              <w:t>7、系统管理：支持多用户管理，实现数据安全备份。</w:t>
            </w:r>
          </w:p>
          <w:p>
            <w:pPr>
              <w:adjustRightInd w:val="0"/>
              <w:snapToGrid w:val="0"/>
              <w:jc w:val="left"/>
              <w:rPr>
                <w:rFonts w:ascii="宋体" w:hAnsi="宋体" w:cs="宋体"/>
                <w:color w:val="000000"/>
                <w:szCs w:val="21"/>
              </w:rPr>
            </w:pPr>
            <w:r>
              <w:rPr>
                <w:rFonts w:hint="eastAsia" w:ascii="宋体" w:hAnsi="宋体" w:cs="宋体"/>
                <w:color w:val="000000"/>
                <w:szCs w:val="21"/>
              </w:rPr>
              <w:t>学生端：</w:t>
            </w:r>
          </w:p>
          <w:p>
            <w:pPr>
              <w:adjustRightInd w:val="0"/>
              <w:snapToGrid w:val="0"/>
              <w:jc w:val="both"/>
              <w:rPr>
                <w:rFonts w:ascii="宋体" w:hAnsi="宋体" w:cs="宋体"/>
                <w:color w:val="000000"/>
                <w:szCs w:val="21"/>
              </w:rPr>
            </w:pPr>
            <w:r>
              <w:rPr>
                <w:rFonts w:hint="eastAsia" w:ascii="宋体" w:hAnsi="宋体" w:cs="宋体"/>
                <w:color w:val="000000"/>
                <w:szCs w:val="21"/>
              </w:rPr>
              <w:t>注意力评估与训练系统学生端平台主要包括个人中心、筛查评估、训练方案、训练助手等功能模块。</w:t>
            </w:r>
          </w:p>
          <w:p>
            <w:pPr>
              <w:adjustRightInd w:val="0"/>
              <w:snapToGrid w:val="0"/>
              <w:jc w:val="both"/>
              <w:rPr>
                <w:rFonts w:ascii="宋体" w:hAnsi="宋体" w:cs="宋体"/>
                <w:color w:val="000000"/>
                <w:szCs w:val="21"/>
              </w:rPr>
            </w:pPr>
            <w:r>
              <w:rPr>
                <w:rFonts w:hint="eastAsia" w:ascii="宋体" w:hAnsi="宋体" w:cs="宋体"/>
                <w:color w:val="000000"/>
                <w:szCs w:val="21"/>
              </w:rPr>
              <w:t>1、个人中心：可以查看到学生的个人基本信息和注意力四个维度各个训练方案的成果展示。</w:t>
            </w:r>
          </w:p>
          <w:p>
            <w:pPr>
              <w:adjustRightInd w:val="0"/>
              <w:snapToGrid w:val="0"/>
              <w:jc w:val="both"/>
              <w:rPr>
                <w:rFonts w:ascii="宋体" w:hAnsi="宋体" w:cs="宋体"/>
                <w:color w:val="000000"/>
                <w:szCs w:val="21"/>
              </w:rPr>
            </w:pPr>
            <w:r>
              <w:rPr>
                <w:rFonts w:hint="eastAsia" w:ascii="宋体" w:hAnsi="宋体" w:cs="宋体"/>
                <w:color w:val="000000"/>
                <w:szCs w:val="21"/>
              </w:rPr>
              <w:t>2、筛查评估：从注意广度、注意稳定性、注意转移和注意分配四个维度来全方位评价学生的注意力水平，结合专业量表等辅助评估方法，帮助老师详细了解学生注意力的发展水平。</w:t>
            </w:r>
          </w:p>
          <w:p>
            <w:pPr>
              <w:adjustRightInd w:val="0"/>
              <w:snapToGrid w:val="0"/>
              <w:jc w:val="both"/>
              <w:rPr>
                <w:rFonts w:ascii="宋体" w:hAnsi="宋体" w:cs="宋体"/>
                <w:color w:val="000000"/>
                <w:szCs w:val="21"/>
              </w:rPr>
            </w:pPr>
            <w:r>
              <w:rPr>
                <w:rFonts w:hint="eastAsia" w:ascii="宋体" w:hAnsi="宋体" w:cs="宋体"/>
                <w:color w:val="000000"/>
                <w:szCs w:val="21"/>
              </w:rPr>
              <w:t>3.训练方案包括了注意力四个维度的训练游戏，比如动物王国、服装搭配、面孔识别、声声入耳、安全驾驶、慧眼识物、双球得分、蜗牛回家等多种类型不同风格的趣味性训练游戏。学生可以根据自己的注意力水平、兴趣爱好和认知能力等选择难易程度、训练维度等适合自己的训练游戏，通过训练提升自己的注意力品质。</w:t>
            </w:r>
          </w:p>
          <w:p>
            <w:pPr>
              <w:adjustRightInd w:val="0"/>
              <w:snapToGrid w:val="0"/>
              <w:jc w:val="both"/>
              <w:rPr>
                <w:rFonts w:ascii="宋体" w:hAnsi="宋体" w:cs="宋体"/>
                <w:color w:val="000000"/>
                <w:szCs w:val="21"/>
              </w:rPr>
            </w:pPr>
            <w:r>
              <w:rPr>
                <w:rFonts w:hint="eastAsia" w:ascii="宋体" w:hAnsi="宋体" w:cs="宋体"/>
                <w:color w:val="000000"/>
                <w:szCs w:val="21"/>
              </w:rPr>
              <w:t>4.训练助手主要为学生提供了三种放松与训练方式，学生可以通过这些方法和辅助工具来调整自己的状态，提高注意力水平。</w:t>
            </w:r>
          </w:p>
          <w:p>
            <w:pPr>
              <w:adjustRightInd w:val="0"/>
              <w:snapToGrid w:val="0"/>
              <w:jc w:val="left"/>
              <w:rPr>
                <w:rFonts w:ascii="宋体" w:hAnsi="宋体" w:cs="宋体"/>
                <w:color w:val="000000"/>
                <w:szCs w:val="21"/>
              </w:rPr>
            </w:pPr>
            <w:r>
              <w:rPr>
                <w:rFonts w:hint="eastAsia" w:ascii="宋体" w:hAnsi="宋体" w:cs="宋体"/>
                <w:color w:val="000000"/>
                <w:szCs w:val="21"/>
              </w:rPr>
              <w:t>硬件：含一体化运行平台一套</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Mar>
              <w:top w:w="15" w:type="dxa"/>
              <w:left w:w="15" w:type="dxa"/>
              <w:right w:w="15" w:type="dxa"/>
            </w:tcMar>
            <w:vAlign w:val="center"/>
          </w:tcPr>
          <w:p>
            <w:pPr>
              <w:jc w:val="center"/>
            </w:pPr>
            <w:r>
              <w:rPr>
                <w:rFonts w:hint="eastAsia"/>
              </w:rPr>
              <w:t>套</w:t>
            </w:r>
          </w:p>
        </w:tc>
        <w:tc>
          <w:tcPr>
            <w:tcW w:w="705" w:type="dxa"/>
            <w:tcMar>
              <w:top w:w="15" w:type="dxa"/>
              <w:left w:w="15" w:type="dxa"/>
              <w:right w:w="15" w:type="dxa"/>
            </w:tcMar>
            <w:vAlign w:val="center"/>
          </w:tcPr>
          <w:p>
            <w:pPr>
              <w:jc w:val="center"/>
            </w:pPr>
            <w:r>
              <w:rPr>
                <w:rFonts w:hint="eastAsia"/>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pPr>
            <w:r>
              <w:drawing>
                <wp:inline distT="0" distB="0" distL="114300" distR="114300">
                  <wp:extent cx="1180465" cy="671195"/>
                  <wp:effectExtent l="0" t="0" r="635" b="14605"/>
                  <wp:docPr id="280"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79"/>
                          <pic:cNvPicPr>
                            <a:picLocks noChangeAspect="1"/>
                          </pic:cNvPicPr>
                        </pic:nvPicPr>
                        <pic:blipFill>
                          <a:blip r:embed="rId18" cstate="print"/>
                          <a:stretch>
                            <a:fillRect/>
                          </a:stretch>
                        </pic:blipFill>
                        <pic:spPr>
                          <a:xfrm>
                            <a:off x="0" y="0"/>
                            <a:ext cx="1180465" cy="671195"/>
                          </a:xfrm>
                          <a:prstGeom prst="rect">
                            <a:avLst/>
                          </a:prstGeom>
                        </pic:spPr>
                      </pic:pic>
                    </a:graphicData>
                  </a:graphic>
                </wp:inline>
              </w:drawing>
            </w:r>
          </w:p>
          <w:p>
            <w:pPr>
              <w:adjustRightInd w:val="0"/>
              <w:snapToGrid w:val="0"/>
              <w:jc w:val="left"/>
            </w:pPr>
          </w:p>
          <w:p>
            <w:pPr>
              <w:adjustRightInd w:val="0"/>
              <w:snapToGrid w:val="0"/>
              <w:jc w:val="left"/>
            </w:pPr>
            <w:r>
              <w:drawing>
                <wp:inline distT="0" distB="0" distL="114300" distR="114300">
                  <wp:extent cx="1235075" cy="843280"/>
                  <wp:effectExtent l="0" t="0" r="3175" b="13970"/>
                  <wp:docPr id="287" name="图片 286"/>
                  <wp:cNvGraphicFramePr/>
                  <a:graphic xmlns:a="http://schemas.openxmlformats.org/drawingml/2006/main">
                    <a:graphicData uri="http://schemas.openxmlformats.org/drawingml/2006/picture">
                      <pic:pic xmlns:pic="http://schemas.openxmlformats.org/drawingml/2006/picture">
                        <pic:nvPicPr>
                          <pic:cNvPr id="287" name="图片 286"/>
                          <pic:cNvPicPr/>
                        </pic:nvPicPr>
                        <pic:blipFill>
                          <a:blip r:embed="rId19" cstate="print"/>
                          <a:stretch>
                            <a:fillRect/>
                          </a:stretch>
                        </pic:blipFill>
                        <pic:spPr>
                          <a:xfrm>
                            <a:off x="0" y="0"/>
                            <a:ext cx="1235075" cy="8432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认知评估与训练仪</w:t>
            </w:r>
          </w:p>
        </w:tc>
        <w:tc>
          <w:tcPr>
            <w:tcW w:w="8255" w:type="dxa"/>
            <w:tcMar>
              <w:top w:w="15" w:type="dxa"/>
              <w:left w:w="15" w:type="dxa"/>
              <w:right w:w="15" w:type="dxa"/>
            </w:tcMar>
            <w:vAlign w:val="center"/>
          </w:tcPr>
          <w:p>
            <w:pPr>
              <w:rPr>
                <w:rFonts w:asciiTheme="minorEastAsia" w:hAnsiTheme="minorEastAsia"/>
                <w:b/>
                <w:bCs/>
                <w:szCs w:val="21"/>
              </w:rPr>
            </w:pPr>
            <w:r>
              <w:rPr>
                <w:rFonts w:hint="eastAsia" w:asciiTheme="minorEastAsia" w:hAnsiTheme="minorEastAsia"/>
                <w:b/>
                <w:bCs/>
                <w:szCs w:val="21"/>
              </w:rPr>
              <w:t>软件具有国家版权局颁发的软件著作权登记证书。</w:t>
            </w:r>
          </w:p>
          <w:p>
            <w:pPr>
              <w:tabs>
                <w:tab w:val="left" w:pos="1800"/>
                <w:tab w:val="left" w:pos="5580"/>
              </w:tabs>
              <w:rPr>
                <w:rFonts w:asciiTheme="minorEastAsia" w:hAnsiTheme="minorEastAsia"/>
                <w:b/>
                <w:bCs/>
                <w:iCs/>
                <w:szCs w:val="21"/>
              </w:rPr>
            </w:pPr>
            <w:r>
              <w:rPr>
                <w:rFonts w:hint="eastAsia" w:asciiTheme="minorEastAsia" w:hAnsiTheme="minorEastAsia"/>
                <w:b/>
                <w:bCs/>
                <w:iCs/>
                <w:szCs w:val="21"/>
              </w:rPr>
              <w:t>软件具有省级或国家级检测机构出具的软件产品登记测试报告。</w:t>
            </w:r>
          </w:p>
          <w:p>
            <w:pPr>
              <w:tabs>
                <w:tab w:val="left" w:pos="1800"/>
                <w:tab w:val="left" w:pos="5580"/>
              </w:tabs>
              <w:rPr>
                <w:rFonts w:asciiTheme="minorEastAsia" w:hAnsiTheme="minorEastAsia"/>
                <w:szCs w:val="21"/>
              </w:rPr>
            </w:pPr>
            <w:r>
              <w:rPr>
                <w:rFonts w:hint="eastAsia" w:asciiTheme="minorEastAsia" w:hAnsiTheme="minorEastAsia"/>
                <w:szCs w:val="21"/>
              </w:rPr>
              <w:t>认知评估与训练系统针对中小学生认知发展特点，对学生的感知觉、注意力、记忆力、空间能力、推理能力、认知灵活性和问题解决等认知能力进行综合评估，同时提供针对各项认知能力的专业训练游戏，来帮助学生发展他们各方面的认知能力。</w:t>
            </w:r>
          </w:p>
          <w:p>
            <w:pPr>
              <w:tabs>
                <w:tab w:val="left" w:pos="1800"/>
                <w:tab w:val="left" w:pos="5580"/>
              </w:tabs>
              <w:rPr>
                <w:rFonts w:asciiTheme="minorEastAsia" w:hAnsiTheme="minorEastAsia"/>
                <w:szCs w:val="21"/>
              </w:rPr>
            </w:pPr>
            <w:r>
              <w:rPr>
                <w:rFonts w:hint="eastAsia" w:asciiTheme="minorEastAsia" w:hAnsiTheme="minorEastAsia"/>
                <w:szCs w:val="21"/>
              </w:rPr>
              <w:t>认知评估与训练系统共分为管理端和学生端两个用户端口。</w:t>
            </w:r>
          </w:p>
          <w:p>
            <w:pPr>
              <w:tabs>
                <w:tab w:val="left" w:pos="1800"/>
                <w:tab w:val="left" w:pos="5580"/>
              </w:tabs>
              <w:rPr>
                <w:rFonts w:asciiTheme="minorEastAsia" w:hAnsiTheme="minorEastAsia"/>
                <w:szCs w:val="21"/>
              </w:rPr>
            </w:pPr>
            <w:r>
              <w:rPr>
                <w:rFonts w:hint="eastAsia" w:asciiTheme="minorEastAsia" w:hAnsiTheme="minorEastAsia"/>
                <w:szCs w:val="21"/>
              </w:rPr>
              <w:t>管理端包括档案管理、评估管理、训练管理、数据中心、学习乐园管理、个性化方案管理、系统管理等功能模块。</w:t>
            </w:r>
          </w:p>
          <w:p>
            <w:pPr>
              <w:tabs>
                <w:tab w:val="left" w:pos="1800"/>
                <w:tab w:val="left" w:pos="5580"/>
              </w:tabs>
              <w:rPr>
                <w:rFonts w:asciiTheme="minorEastAsia" w:hAnsiTheme="minorEastAsia"/>
                <w:szCs w:val="21"/>
              </w:rPr>
            </w:pPr>
            <w:r>
              <w:rPr>
                <w:rFonts w:hint="eastAsia" w:asciiTheme="minorEastAsia" w:hAnsiTheme="minorEastAsia"/>
                <w:szCs w:val="21"/>
              </w:rPr>
              <w:t>管理端支持如下功能：</w:t>
            </w:r>
          </w:p>
          <w:p>
            <w:pPr>
              <w:tabs>
                <w:tab w:val="left" w:pos="1800"/>
                <w:tab w:val="left" w:pos="5580"/>
              </w:tabs>
              <w:rPr>
                <w:rFonts w:asciiTheme="minorEastAsia" w:hAnsiTheme="minorEastAsia"/>
                <w:szCs w:val="21"/>
              </w:rPr>
            </w:pPr>
            <w:r>
              <w:rPr>
                <w:rFonts w:hint="eastAsia" w:asciiTheme="minorEastAsia" w:hAnsiTheme="minorEastAsia"/>
                <w:szCs w:val="21"/>
              </w:rPr>
              <w:t>1.档案管理：批量导入学生信息，为学生建立完整档案，包括基本信息、评估报告、训练报告。</w:t>
            </w:r>
          </w:p>
          <w:p>
            <w:pPr>
              <w:tabs>
                <w:tab w:val="left" w:pos="1800"/>
                <w:tab w:val="left" w:pos="5580"/>
              </w:tabs>
              <w:rPr>
                <w:rFonts w:asciiTheme="minorEastAsia" w:hAnsiTheme="minorEastAsia"/>
                <w:szCs w:val="21"/>
              </w:rPr>
            </w:pPr>
            <w:r>
              <w:rPr>
                <w:rFonts w:hint="eastAsia" w:asciiTheme="minorEastAsia" w:hAnsiTheme="minorEastAsia"/>
                <w:szCs w:val="21"/>
              </w:rPr>
              <w:t>2.评估管理：2.1量表筛查包括克氏孤独症、蒙特利尔认知评估量表、瑞文标准推理测验、斯诺佩评估量表以及学习障碍评估量表对自闭症、认知发展迟缓、智力低下、注意力缺陷以及学习障碍问题的特殊儿童的筛查。2.2</w:t>
            </w:r>
            <w:r>
              <w:rPr>
                <w:rFonts w:hint="eastAsia" w:asciiTheme="minorEastAsia" w:hAnsiTheme="minorEastAsia"/>
                <w:bCs/>
                <w:szCs w:val="21"/>
              </w:rPr>
              <w:t>认知能力评估包括对普通学生从感知能力、注意力、记忆力、空间能力、推理能力、认知灵活性以及问题解决7大认知能力方面的评估</w:t>
            </w:r>
            <w:r>
              <w:rPr>
                <w:rFonts w:hint="eastAsia" w:asciiTheme="minorEastAsia" w:hAnsiTheme="minorEastAsia"/>
                <w:szCs w:val="21"/>
              </w:rPr>
              <w:t>，7大认知能力又细分为视知觉、听知觉、感觉记忆、位置记忆、联想记忆等20多个个子维度的具体评估内容。</w:t>
            </w:r>
          </w:p>
          <w:p>
            <w:pPr>
              <w:tabs>
                <w:tab w:val="left" w:pos="1800"/>
                <w:tab w:val="left" w:pos="5580"/>
              </w:tabs>
              <w:rPr>
                <w:rFonts w:asciiTheme="minorEastAsia" w:hAnsiTheme="minorEastAsia"/>
                <w:szCs w:val="21"/>
              </w:rPr>
            </w:pPr>
            <w:r>
              <w:rPr>
                <w:rFonts w:hint="eastAsia" w:asciiTheme="minorEastAsia" w:hAnsiTheme="minorEastAsia"/>
                <w:szCs w:val="21"/>
              </w:rPr>
              <w:t>3.训练管理：训练模块针对认知的不同维度设计了大量针对性的训练游戏，包括：慧眼识图、小猴回家、快数方块、并驾齐驱、联想大挑战、记忆闪存、寻宝专家、快乐七巧板、珠玑妙算、精确量水、小熊推箱子等等。可以有针对性的提高各方面的认知能力</w:t>
            </w:r>
          </w:p>
          <w:p>
            <w:pPr>
              <w:tabs>
                <w:tab w:val="left" w:pos="1800"/>
                <w:tab w:val="left" w:pos="5580"/>
              </w:tabs>
              <w:rPr>
                <w:rFonts w:asciiTheme="minorEastAsia" w:hAnsiTheme="minorEastAsia"/>
                <w:szCs w:val="21"/>
              </w:rPr>
            </w:pPr>
            <w:r>
              <w:rPr>
                <w:rFonts w:hint="eastAsia" w:asciiTheme="minorEastAsia" w:hAnsiTheme="minorEastAsia"/>
                <w:szCs w:val="21"/>
              </w:rPr>
              <w:t>4.数据中心：评估训练的所有数据都会储存到数据库，教师可以进行数据筛查、生成群体综合报告、还可以进行描述统计、均值差异性比较和方差分析。</w:t>
            </w:r>
          </w:p>
          <w:p>
            <w:pPr>
              <w:tabs>
                <w:tab w:val="left" w:pos="1800"/>
                <w:tab w:val="left" w:pos="5580"/>
              </w:tabs>
              <w:rPr>
                <w:rFonts w:asciiTheme="minorEastAsia" w:hAnsiTheme="minorEastAsia"/>
                <w:szCs w:val="21"/>
              </w:rPr>
            </w:pPr>
            <w:r>
              <w:rPr>
                <w:rFonts w:hint="eastAsia" w:asciiTheme="minorEastAsia" w:hAnsiTheme="minorEastAsia"/>
                <w:szCs w:val="21"/>
              </w:rPr>
              <w:t>5.学习乐园管理：在系统内置的学习内容之外，教师还可以随时往系统里添加学生所需要学习内容。</w:t>
            </w:r>
          </w:p>
          <w:p>
            <w:pPr>
              <w:tabs>
                <w:tab w:val="left" w:pos="1800"/>
                <w:tab w:val="left" w:pos="5580"/>
              </w:tabs>
              <w:rPr>
                <w:rFonts w:asciiTheme="minorEastAsia" w:hAnsiTheme="minorEastAsia"/>
                <w:szCs w:val="21"/>
              </w:rPr>
            </w:pPr>
            <w:r>
              <w:rPr>
                <w:rFonts w:hint="eastAsia" w:asciiTheme="minorEastAsia" w:hAnsiTheme="minorEastAsia"/>
                <w:szCs w:val="21"/>
              </w:rPr>
              <w:t>6.个性化方案管理：系统针对筛查量表内置不同的训练方案，在学生完成筛查后，如果符合要求，将自动绑定给该学生。教师也可以根据学生评估结果。制定更具针对性的训练方案，绑定给指定学生，进行训练。</w:t>
            </w:r>
          </w:p>
          <w:p>
            <w:pPr>
              <w:tabs>
                <w:tab w:val="left" w:pos="1800"/>
                <w:tab w:val="left" w:pos="5580"/>
              </w:tabs>
              <w:rPr>
                <w:rFonts w:asciiTheme="minorEastAsia" w:hAnsiTheme="minorEastAsia"/>
                <w:szCs w:val="21"/>
              </w:rPr>
            </w:pPr>
            <w:r>
              <w:rPr>
                <w:rFonts w:hint="eastAsia" w:asciiTheme="minorEastAsia" w:hAnsiTheme="minorEastAsia"/>
                <w:szCs w:val="21"/>
              </w:rPr>
              <w:t>7.系统管理：管理系统使用用户、角色等相关信息，进行系统数据备份。</w:t>
            </w:r>
          </w:p>
          <w:p>
            <w:pPr>
              <w:tabs>
                <w:tab w:val="left" w:pos="1800"/>
                <w:tab w:val="left" w:pos="5580"/>
              </w:tabs>
              <w:rPr>
                <w:rFonts w:asciiTheme="minorEastAsia" w:hAnsiTheme="minorEastAsia"/>
                <w:szCs w:val="21"/>
              </w:rPr>
            </w:pPr>
            <w:r>
              <w:rPr>
                <w:rFonts w:hint="eastAsia" w:asciiTheme="minorEastAsia" w:hAnsiTheme="minorEastAsia"/>
                <w:szCs w:val="21"/>
              </w:rPr>
              <w:t>用户端支持如下功能：</w:t>
            </w:r>
          </w:p>
          <w:p>
            <w:pPr>
              <w:tabs>
                <w:tab w:val="left" w:pos="1800"/>
                <w:tab w:val="left" w:pos="5580"/>
              </w:tabs>
              <w:rPr>
                <w:rFonts w:asciiTheme="minorEastAsia" w:hAnsiTheme="minorEastAsia"/>
                <w:szCs w:val="21"/>
              </w:rPr>
            </w:pPr>
            <w:r>
              <w:rPr>
                <w:rFonts w:hint="eastAsia" w:asciiTheme="minorEastAsia" w:hAnsiTheme="minorEastAsia"/>
                <w:szCs w:val="21"/>
              </w:rPr>
              <w:t>1.学习乐园：从事物辨识、概念训练、社会认知和生活技能四个方面提供学习内容，提高学生基础认知能力</w:t>
            </w:r>
          </w:p>
          <w:p>
            <w:pPr>
              <w:tabs>
                <w:tab w:val="left" w:pos="1800"/>
                <w:tab w:val="left" w:pos="5580"/>
              </w:tabs>
              <w:rPr>
                <w:rFonts w:asciiTheme="minorEastAsia" w:hAnsiTheme="minorEastAsia"/>
                <w:szCs w:val="21"/>
              </w:rPr>
            </w:pPr>
            <w:r>
              <w:rPr>
                <w:rFonts w:hint="eastAsia" w:asciiTheme="minorEastAsia" w:hAnsiTheme="minorEastAsia"/>
                <w:szCs w:val="21"/>
              </w:rPr>
              <w:t>事物辨识包括食物、植物、动物、人、生活物品、地标与交通、自然基础7个方面共300多张图片以供学生学习，并提供双语朗读。</w:t>
            </w:r>
          </w:p>
          <w:p>
            <w:pPr>
              <w:tabs>
                <w:tab w:val="left" w:pos="1800"/>
                <w:tab w:val="left" w:pos="5580"/>
              </w:tabs>
              <w:rPr>
                <w:rFonts w:asciiTheme="minorEastAsia" w:hAnsiTheme="minorEastAsia"/>
                <w:szCs w:val="21"/>
              </w:rPr>
            </w:pPr>
            <w:r>
              <w:rPr>
                <w:rFonts w:hint="eastAsia" w:asciiTheme="minorEastAsia" w:hAnsiTheme="minorEastAsia"/>
                <w:szCs w:val="21"/>
              </w:rPr>
              <w:t>概念训练包括分类、概念、关系、联想4个方面共300多张图片以供学生学习。</w:t>
            </w:r>
          </w:p>
          <w:p>
            <w:pPr>
              <w:tabs>
                <w:tab w:val="left" w:pos="1800"/>
                <w:tab w:val="left" w:pos="5580"/>
              </w:tabs>
              <w:rPr>
                <w:rFonts w:asciiTheme="minorEastAsia" w:hAnsiTheme="minorEastAsia"/>
                <w:szCs w:val="21"/>
              </w:rPr>
            </w:pPr>
            <w:r>
              <w:rPr>
                <w:rFonts w:hint="eastAsia" w:asciiTheme="minorEastAsia" w:hAnsiTheme="minorEastAsia"/>
                <w:szCs w:val="21"/>
              </w:rPr>
              <w:t>社会认知包括动作认知、感受认知、情绪认知、人物关系、身体医疗、生活化和职业7个方面共300多张图片以供学生学习。</w:t>
            </w:r>
          </w:p>
          <w:p>
            <w:pPr>
              <w:tabs>
                <w:tab w:val="left" w:pos="1800"/>
                <w:tab w:val="left" w:pos="5580"/>
              </w:tabs>
              <w:rPr>
                <w:rFonts w:asciiTheme="minorEastAsia" w:hAnsiTheme="minorEastAsia"/>
                <w:szCs w:val="21"/>
              </w:rPr>
            </w:pPr>
            <w:r>
              <w:rPr>
                <w:rFonts w:hint="eastAsia" w:asciiTheme="minorEastAsia" w:hAnsiTheme="minorEastAsia"/>
                <w:szCs w:val="21"/>
              </w:rPr>
              <w:t>生活技能包括个人卫生、日常生活、生活小常识、学校生活和游戏休闲5个方面共100多张图片以供学生学习。</w:t>
            </w:r>
          </w:p>
          <w:p>
            <w:pPr>
              <w:tabs>
                <w:tab w:val="left" w:pos="1800"/>
                <w:tab w:val="left" w:pos="5580"/>
              </w:tabs>
              <w:rPr>
                <w:rFonts w:asciiTheme="minorEastAsia" w:hAnsiTheme="minorEastAsia"/>
                <w:szCs w:val="21"/>
              </w:rPr>
            </w:pPr>
            <w:r>
              <w:rPr>
                <w:rFonts w:hint="eastAsia" w:asciiTheme="minorEastAsia" w:hAnsiTheme="minorEastAsia"/>
                <w:szCs w:val="21"/>
              </w:rPr>
              <w:t>2.评估中心：包括感知能力、注意力、记忆力、空间能力、推理能力、认知灵活性以及问题解决7大认知能力方面的综合评估，又包括视知觉、听知觉、感觉记忆、位置记忆、联想记忆等20多个子维度的能力评估。</w:t>
            </w:r>
          </w:p>
          <w:p>
            <w:pPr>
              <w:tabs>
                <w:tab w:val="left" w:pos="1800"/>
                <w:tab w:val="left" w:pos="5580"/>
              </w:tabs>
              <w:rPr>
                <w:rFonts w:asciiTheme="minorEastAsia" w:hAnsiTheme="minorEastAsia"/>
                <w:szCs w:val="21"/>
              </w:rPr>
            </w:pPr>
            <w:r>
              <w:rPr>
                <w:rFonts w:hint="eastAsia" w:asciiTheme="minorEastAsia" w:hAnsiTheme="minorEastAsia"/>
                <w:szCs w:val="21"/>
              </w:rPr>
              <w:t>3.训练中心：训练中心包块提高感知能力、注意力、记忆力、空间能力、推理能力、认知灵活性以及问题解决能力的训练游戏。</w:t>
            </w:r>
          </w:p>
          <w:p>
            <w:pPr>
              <w:tabs>
                <w:tab w:val="left" w:pos="1800"/>
                <w:tab w:val="left" w:pos="5580"/>
              </w:tabs>
              <w:rPr>
                <w:rFonts w:asciiTheme="minorEastAsia" w:hAnsiTheme="minorEastAsia"/>
                <w:szCs w:val="21"/>
              </w:rPr>
            </w:pPr>
            <w:r>
              <w:rPr>
                <w:rFonts w:hint="eastAsia" w:asciiTheme="minorEastAsia" w:hAnsiTheme="minorEastAsia"/>
                <w:szCs w:val="21"/>
              </w:rPr>
              <w:t>4.个性化方案：学生可以在此模块进行个性化训练，更有针对性的提高认知能力。</w:t>
            </w:r>
          </w:p>
          <w:p>
            <w:pPr>
              <w:tabs>
                <w:tab w:val="left" w:pos="1800"/>
                <w:tab w:val="left" w:pos="5580"/>
              </w:tabs>
              <w:rPr>
                <w:rFonts w:asciiTheme="minorEastAsia" w:hAnsiTheme="minorEastAsia"/>
                <w:szCs w:val="21"/>
              </w:rPr>
            </w:pPr>
            <w:r>
              <w:rPr>
                <w:rFonts w:hint="eastAsia" w:asciiTheme="minorEastAsia" w:hAnsiTheme="minorEastAsia"/>
                <w:szCs w:val="21"/>
              </w:rPr>
              <w:t>5.统计报告：学生在完成评估和训练后，都可以查看自己的评估和训练报告，了解自己的认知能力水平，自主的参与训练。</w:t>
            </w:r>
          </w:p>
          <w:p>
            <w:pPr>
              <w:tabs>
                <w:tab w:val="left" w:pos="1800"/>
                <w:tab w:val="left" w:pos="5580"/>
              </w:tabs>
              <w:rPr>
                <w:rFonts w:asciiTheme="minorEastAsia" w:hAnsiTheme="minorEastAsia"/>
                <w:szCs w:val="21"/>
              </w:rPr>
            </w:pPr>
            <w:r>
              <w:rPr>
                <w:rFonts w:hint="eastAsia" w:asciiTheme="minorEastAsia" w:hAnsiTheme="minorEastAsia"/>
                <w:szCs w:val="21"/>
              </w:rPr>
              <w:t>6.放松减压：包含数十首旋律动听的音乐、数十个画面唯美的视频、及多个专业的心理放松技术内容。</w:t>
            </w:r>
          </w:p>
          <w:p>
            <w:pPr>
              <w:tabs>
                <w:tab w:val="left" w:pos="1800"/>
                <w:tab w:val="left" w:pos="5580"/>
              </w:tabs>
              <w:rPr>
                <w:rFonts w:asciiTheme="minorEastAsia" w:hAnsiTheme="minorEastAsia"/>
                <w:szCs w:val="21"/>
              </w:rPr>
            </w:pPr>
            <w:r>
              <w:rPr>
                <w:rFonts w:hint="eastAsia" w:asciiTheme="minorEastAsia" w:hAnsiTheme="minorEastAsia"/>
                <w:szCs w:val="21"/>
              </w:rPr>
              <w:t>7.个人中心：支持用户个人信息管理，包括基本信息修改和密码修改。系统包括评估与训练成就墙，通过成就激励吸引学生不断完成一项项评估和训练。</w:t>
            </w:r>
          </w:p>
          <w:p>
            <w:pPr>
              <w:adjustRightInd w:val="0"/>
              <w:snapToGrid w:val="0"/>
              <w:jc w:val="left"/>
              <w:rPr>
                <w:rFonts w:ascii="宋体" w:hAnsi="宋体" w:cs="宋体"/>
                <w:color w:val="000000"/>
                <w:szCs w:val="21"/>
              </w:rPr>
            </w:pPr>
            <w:r>
              <w:rPr>
                <w:rFonts w:hint="eastAsia" w:asciiTheme="minorEastAsia" w:hAnsiTheme="minorEastAsia"/>
                <w:szCs w:val="21"/>
              </w:rPr>
              <w:t>22寸</w:t>
            </w:r>
            <w:r>
              <w:rPr>
                <w:rFonts w:asciiTheme="minorEastAsia" w:hAnsiTheme="minorEastAsia"/>
                <w:szCs w:val="21"/>
              </w:rPr>
              <w:t>嵌入式</w:t>
            </w:r>
            <w:r>
              <w:rPr>
                <w:rFonts w:hint="eastAsia" w:asciiTheme="minorEastAsia" w:hAnsiTheme="minorEastAsia"/>
                <w:szCs w:val="21"/>
              </w:rPr>
              <w:t>流线型</w:t>
            </w:r>
            <w:r>
              <w:rPr>
                <w:rFonts w:asciiTheme="minorEastAsia" w:hAnsiTheme="minorEastAsia"/>
                <w:szCs w:val="21"/>
              </w:rPr>
              <w:t>一体</w:t>
            </w:r>
            <w:r>
              <w:rPr>
                <w:rFonts w:hint="eastAsia" w:asciiTheme="minorEastAsia" w:hAnsiTheme="minorEastAsia"/>
                <w:szCs w:val="21"/>
              </w:rPr>
              <w:t>化</w:t>
            </w:r>
            <w:r>
              <w:rPr>
                <w:rFonts w:asciiTheme="minorEastAsia" w:hAnsiTheme="minorEastAsia"/>
                <w:szCs w:val="21"/>
              </w:rPr>
              <w:t>操作台</w:t>
            </w:r>
            <w:r>
              <w:rPr>
                <w:rFonts w:hint="eastAsia" w:asciiTheme="minorEastAsia" w:hAnsiTheme="minorEastAsia"/>
                <w:szCs w:val="21"/>
              </w:rPr>
              <w:t>，配有无线键鼠。</w:t>
            </w:r>
          </w:p>
        </w:tc>
        <w:tc>
          <w:tcPr>
            <w:tcW w:w="73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p>
        </w:tc>
        <w:tc>
          <w:tcPr>
            <w:tcW w:w="705" w:type="dxa"/>
            <w:tcMar>
              <w:top w:w="15" w:type="dxa"/>
              <w:left w:w="15" w:type="dxa"/>
              <w:right w:w="15" w:type="dxa"/>
            </w:tcMar>
            <w:vAlign w:val="center"/>
          </w:tcPr>
          <w:p>
            <w:pPr>
              <w:jc w:val="center"/>
              <w:rPr>
                <w:rFonts w:asciiTheme="minorEastAsia" w:hAnsiTheme="minorEastAsia"/>
              </w:rPr>
            </w:pPr>
            <w:r>
              <w:rPr>
                <w:rFonts w:hint="eastAsia" w:asciiTheme="minorEastAsia" w:hAnsiTheme="minorEastAsia"/>
              </w:rPr>
              <w:t>套</w:t>
            </w:r>
          </w:p>
        </w:tc>
        <w:tc>
          <w:tcPr>
            <w:tcW w:w="705" w:type="dxa"/>
            <w:tcMar>
              <w:top w:w="15" w:type="dxa"/>
              <w:left w:w="15" w:type="dxa"/>
              <w:right w:w="15" w:type="dxa"/>
            </w:tcMar>
            <w:vAlign w:val="center"/>
          </w:tcPr>
          <w:p>
            <w:pPr>
              <w:jc w:val="center"/>
              <w:rPr>
                <w:rFonts w:asciiTheme="minorEastAsia" w:hAnsiTheme="minorEastAsia"/>
              </w:rPr>
            </w:pPr>
            <w:r>
              <w:rPr>
                <w:rFonts w:hint="eastAsia" w:asciiTheme="minorEastAsia" w:hAnsiTheme="minorEastAsia"/>
              </w:rPr>
              <w:t>1</w:t>
            </w:r>
          </w:p>
        </w:tc>
        <w:tc>
          <w:tcPr>
            <w:tcW w:w="70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pPr>
          </w:p>
          <w:p>
            <w:pPr>
              <w:adjustRightInd w:val="0"/>
              <w:snapToGrid w:val="0"/>
              <w:jc w:val="left"/>
            </w:pPr>
            <w:r>
              <w:drawing>
                <wp:inline distT="0" distB="0" distL="0" distR="0">
                  <wp:extent cx="1224915" cy="17430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0"/>
                          <a:stretch>
                            <a:fillRect/>
                          </a:stretch>
                        </pic:blipFill>
                        <pic:spPr>
                          <a:xfrm>
                            <a:off x="0" y="0"/>
                            <a:ext cx="1227685" cy="1746841"/>
                          </a:xfrm>
                          <a:prstGeom prst="rect">
                            <a:avLst/>
                          </a:prstGeom>
                        </pic:spPr>
                      </pic:pic>
                    </a:graphicData>
                  </a:graphic>
                </wp:inline>
              </w:drawing>
            </w:r>
          </w:p>
          <w:p>
            <w:pPr>
              <w:adjustRightInd w:val="0"/>
              <w:snapToGrid w:val="0"/>
              <w:jc w:val="left"/>
              <w:rPr>
                <w:rFonts w:ascii="宋体" w:hAnsi="宋体" w:cs="宋体"/>
                <w:color w:val="000000"/>
                <w:szCs w:val="21"/>
              </w:rPr>
            </w:pPr>
          </w:p>
          <w:p>
            <w:pPr>
              <w:adjustRightInd w:val="0"/>
              <w:snapToGrid w:val="0"/>
              <w:jc w:val="left"/>
              <w:rPr>
                <w:rFonts w:ascii="宋体" w:hAnsi="宋体" w:cs="宋体"/>
                <w:color w:val="000000"/>
                <w:szCs w:val="21"/>
              </w:rPr>
            </w:pPr>
          </w:p>
          <w:p>
            <w:pPr>
              <w:adjustRightInd w:val="0"/>
              <w:snapToGrid w:val="0"/>
              <w:jc w:val="left"/>
              <w:rPr>
                <w:rFonts w:ascii="宋体" w:hAnsi="宋体" w:cs="宋体"/>
                <w:color w:val="000000"/>
                <w:szCs w:val="21"/>
              </w:rPr>
            </w:pPr>
          </w:p>
          <w:p>
            <w:pPr>
              <w:adjustRightInd w:val="0"/>
              <w:snapToGrid w:val="0"/>
              <w:jc w:val="left"/>
              <w:rPr>
                <w:rFonts w:ascii="宋体" w:hAnsi="宋体" w:cs="宋体"/>
                <w:color w:val="000000"/>
                <w:szCs w:val="21"/>
              </w:rPr>
            </w:pPr>
            <w:r>
              <w:drawing>
                <wp:inline distT="0" distB="0" distL="0" distR="0">
                  <wp:extent cx="1208405" cy="67627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21"/>
                          <a:stretch>
                            <a:fillRect/>
                          </a:stretch>
                        </pic:blipFill>
                        <pic:spPr>
                          <a:xfrm>
                            <a:off x="0" y="0"/>
                            <a:ext cx="1210400" cy="677336"/>
                          </a:xfrm>
                          <a:prstGeom prst="rect">
                            <a:avLst/>
                          </a:prstGeom>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r>
              <w:drawing>
                <wp:inline distT="0" distB="0" distL="0" distR="0">
                  <wp:extent cx="1215390" cy="723900"/>
                  <wp:effectExtent l="0" t="0" r="381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22"/>
                          <a:stretch>
                            <a:fillRect/>
                          </a:stretch>
                        </pic:blipFill>
                        <pic:spPr>
                          <a:xfrm>
                            <a:off x="0" y="0"/>
                            <a:ext cx="1216621" cy="724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14910" w:type="dxa"/>
            <w:gridSpan w:val="9"/>
            <w:tcMar>
              <w:top w:w="15" w:type="dxa"/>
              <w:left w:w="15" w:type="dxa"/>
              <w:right w:w="15" w:type="dxa"/>
            </w:tcMar>
            <w:vAlign w:val="center"/>
          </w:tcPr>
          <w:p>
            <w:pPr>
              <w:adjustRightInd w:val="0"/>
              <w:snapToGrid w:val="0"/>
              <w:jc w:val="center"/>
              <w:rPr>
                <w:rFonts w:ascii="宋体" w:hAnsi="宋体" w:cs="宋体"/>
                <w:color w:val="000000"/>
                <w:szCs w:val="21"/>
              </w:rPr>
            </w:pPr>
            <w:r>
              <w:rPr>
                <w:rFonts w:hint="eastAsia" w:ascii="宋体" w:hAnsi="宋体" w:cs="宋体"/>
                <w:b/>
                <w:bCs/>
                <w:color w:val="000000"/>
                <w:szCs w:val="21"/>
              </w:rPr>
              <w:t>五、</w:t>
            </w:r>
            <w:r>
              <w:rPr>
                <w:rFonts w:hint="eastAsia" w:asciiTheme="minorEastAsia" w:hAnsiTheme="minorEastAsia"/>
                <w:b/>
                <w:sz w:val="24"/>
                <w:szCs w:val="24"/>
              </w:rPr>
              <w:t>言语沟通训练区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w:t>
            </w:r>
          </w:p>
        </w:tc>
        <w:tc>
          <w:tcPr>
            <w:tcW w:w="1127" w:type="dxa"/>
            <w:shd w:val="clear" w:color="auto" w:fill="auto"/>
            <w:tcMar>
              <w:top w:w="15" w:type="dxa"/>
              <w:left w:w="15" w:type="dxa"/>
              <w:right w:w="15" w:type="dxa"/>
            </w:tcMar>
            <w:vAlign w:val="center"/>
          </w:tcPr>
          <w:p>
            <w:pPr>
              <w:jc w:val="center"/>
            </w:pPr>
            <w:r>
              <w:rPr>
                <w:rFonts w:hint="eastAsia"/>
              </w:rPr>
              <w:t>核心语汇沟通训练仪</w:t>
            </w:r>
          </w:p>
        </w:tc>
        <w:tc>
          <w:tcPr>
            <w:tcW w:w="8255" w:type="dxa"/>
            <w:shd w:val="clear" w:color="auto" w:fill="auto"/>
            <w:tcMar>
              <w:top w:w="15" w:type="dxa"/>
              <w:left w:w="15" w:type="dxa"/>
              <w:right w:w="15" w:type="dxa"/>
            </w:tcMar>
          </w:tcPr>
          <w:p>
            <w:pPr>
              <w:rPr>
                <w:rFonts w:cs="宋体" w:asciiTheme="minorEastAsia" w:hAnsiTheme="minorEastAsia"/>
                <w:b/>
                <w:szCs w:val="21"/>
              </w:rPr>
            </w:pPr>
            <w:r>
              <w:rPr>
                <w:rFonts w:cs="宋体" w:asciiTheme="minorEastAsia" w:hAnsiTheme="minorEastAsia"/>
                <w:b/>
                <w:szCs w:val="21"/>
              </w:rPr>
              <w:t>具有</w:t>
            </w:r>
            <w:r>
              <w:rPr>
                <w:rFonts w:hint="eastAsia" w:asciiTheme="minorEastAsia" w:hAnsiTheme="minorEastAsia"/>
                <w:b/>
                <w:bCs/>
                <w:iCs/>
                <w:szCs w:val="21"/>
              </w:rPr>
              <w:t>省级或国家级检测机构出具的</w:t>
            </w:r>
            <w:r>
              <w:rPr>
                <w:rFonts w:cs="宋体" w:asciiTheme="minorEastAsia" w:hAnsiTheme="minorEastAsia"/>
                <w:b/>
                <w:szCs w:val="21"/>
              </w:rPr>
              <w:t>质量检测报告</w:t>
            </w:r>
            <w:r>
              <w:rPr>
                <w:rFonts w:hint="eastAsia" w:cs="宋体" w:asciiTheme="minorEastAsia" w:hAnsiTheme="minorEastAsia"/>
                <w:b/>
                <w:szCs w:val="21"/>
              </w:rPr>
              <w:t>。</w:t>
            </w:r>
          </w:p>
          <w:p>
            <w:pPr>
              <w:rPr>
                <w:rFonts w:cs="宋体" w:asciiTheme="minorEastAsia" w:hAnsiTheme="minorEastAsia"/>
                <w:szCs w:val="21"/>
              </w:rPr>
            </w:pPr>
            <w:r>
              <w:rPr>
                <w:rFonts w:hint="eastAsia" w:cs="宋体" w:asciiTheme="minorEastAsia" w:hAnsiTheme="minorEastAsia"/>
                <w:szCs w:val="21"/>
              </w:rPr>
              <w:t>用于培智儿童、智能障碍、脑性麻痹、自闭症、语言发展迟缓等学生进行沟通学习和认知学习。</w:t>
            </w:r>
          </w:p>
          <w:p>
            <w:pPr>
              <w:rPr>
                <w:rFonts w:cs="宋体" w:asciiTheme="minorEastAsia" w:hAnsiTheme="minorEastAsia"/>
                <w:szCs w:val="21"/>
              </w:rPr>
            </w:pPr>
            <w:r>
              <w:rPr>
                <w:rFonts w:hint="eastAsia" w:cs="宋体" w:asciiTheme="minorEastAsia" w:hAnsiTheme="minorEastAsia"/>
                <w:szCs w:val="21"/>
              </w:rPr>
              <w:t>1</w:t>
            </w:r>
            <w:r>
              <w:rPr>
                <w:rFonts w:cs="宋体" w:asciiTheme="minorEastAsia" w:hAnsiTheme="minorEastAsia"/>
                <w:szCs w:val="21"/>
              </w:rPr>
              <w:t>.</w:t>
            </w:r>
            <w:r>
              <w:rPr>
                <w:rFonts w:hint="eastAsia" w:cs="宋体" w:asciiTheme="minorEastAsia" w:hAnsiTheme="minorEastAsia"/>
                <w:szCs w:val="21"/>
              </w:rPr>
              <w:t>语种分中文、英文两种语言。</w:t>
            </w:r>
            <w:r>
              <w:rPr>
                <w:rFonts w:hint="eastAsia" w:cs="宋体" w:asciiTheme="minorEastAsia" w:hAnsiTheme="minorEastAsia"/>
                <w:szCs w:val="21"/>
              </w:rPr>
              <w:br w:type="textWrapping"/>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版面包括的其他功能键：整句发音、删字键、清空键、记忆键、录音键、记忆格、音量调节键、音乐播放键。</w:t>
            </w:r>
            <w:r>
              <w:rPr>
                <w:rFonts w:hint="eastAsia" w:cs="宋体" w:asciiTheme="minorEastAsia" w:hAnsiTheme="minorEastAsia"/>
                <w:szCs w:val="21"/>
              </w:rPr>
              <w:br w:type="textWrapping"/>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版面按照类别分为：</w:t>
            </w:r>
          </w:p>
          <w:p>
            <w:pPr>
              <w:rPr>
                <w:rFonts w:cs="宋体" w:asciiTheme="minorEastAsia" w:hAnsiTheme="minorEastAsia"/>
                <w:szCs w:val="21"/>
              </w:rPr>
            </w:pPr>
            <w:r>
              <w:rPr>
                <w:rFonts w:hint="eastAsia" w:cs="宋体" w:asciiTheme="minorEastAsia" w:hAnsiTheme="minorEastAsia"/>
                <w:szCs w:val="21"/>
              </w:rPr>
              <w:t>（1）核心语汇教学部分：分名词篇、基础句型篇与问答篇。名词篇共100个语汇。句型篇共18个常用句型版面。问答篇共18个问答句型版面，每个版面包含疑问句、肯定句、否定句三种句式。</w:t>
            </w:r>
          </w:p>
          <w:p>
            <w:pPr>
              <w:rPr>
                <w:rFonts w:cs="宋体" w:asciiTheme="minorEastAsia" w:hAnsiTheme="minorEastAsia"/>
                <w:szCs w:val="21"/>
              </w:rPr>
            </w:pPr>
            <w:r>
              <w:rPr>
                <w:rFonts w:hint="eastAsia" w:cs="宋体" w:asciiTheme="minorEastAsia" w:hAnsiTheme="minorEastAsia"/>
                <w:szCs w:val="21"/>
              </w:rPr>
              <w:t>（2）核心语汇版面：共3个版面，共包含主语、时间状语、谓语、宾语等不同词性的223个语汇。</w:t>
            </w:r>
          </w:p>
          <w:p>
            <w:pPr>
              <w:jc w:val="both"/>
              <w:rPr>
                <w:rFonts w:cs="宋体" w:asciiTheme="minorEastAsia" w:hAnsiTheme="minorEastAsia"/>
                <w:szCs w:val="21"/>
              </w:rPr>
            </w:pPr>
            <w:r>
              <w:rPr>
                <w:rFonts w:hint="eastAsia" w:cs="宋体" w:asciiTheme="minorEastAsia" w:hAnsiTheme="minorEastAsia"/>
                <w:szCs w:val="21"/>
              </w:rPr>
              <w:t>（3）核心语汇简易版小册：包含核心语汇版面的223个语汇，轻巧便携，配合教学使用。</w:t>
            </w:r>
          </w:p>
          <w:p>
            <w:pPr>
              <w:jc w:val="both"/>
              <w:rPr>
                <w:rFonts w:cs="宋体" w:asciiTheme="minorEastAsia" w:hAnsiTheme="minorEastAsia"/>
                <w:szCs w:val="21"/>
              </w:rPr>
            </w:pPr>
            <w:r>
              <w:rPr>
                <w:rFonts w:hint="eastAsia" w:cs="宋体" w:asciiTheme="minorEastAsia" w:hAnsiTheme="minorEastAsia"/>
                <w:szCs w:val="21"/>
              </w:rPr>
              <w:t>（4）常用句版面：附于教学部分之后，含50个录音格，可用沟通笔直接将声音储存在版面的录音格上，制作为学生个人的常用句版面。</w:t>
            </w:r>
            <w:r>
              <w:rPr>
                <w:rFonts w:hint="eastAsia" w:cs="宋体" w:asciiTheme="minorEastAsia" w:hAnsiTheme="minorEastAsia"/>
                <w:szCs w:val="21"/>
              </w:rPr>
              <w:br w:type="textWrapping"/>
            </w:r>
            <w:r>
              <w:rPr>
                <w:rFonts w:hint="eastAsia" w:cs="宋体" w:asciiTheme="minorEastAsia" w:hAnsiTheme="minorEastAsia"/>
                <w:szCs w:val="21"/>
              </w:rPr>
              <w:t>（5）记忆贴片：可贴于多种材质之上，并可重复使用。每套内含210个记忆贴片，用学习笔录音后，再点读记忆贴片，可将声音储存并播放出来。</w:t>
            </w:r>
            <w:r>
              <w:rPr>
                <w:rFonts w:hint="eastAsia" w:cs="宋体" w:asciiTheme="minorEastAsia" w:hAnsiTheme="minorEastAsia"/>
                <w:szCs w:val="21"/>
              </w:rPr>
              <w:br w:type="textWrapping"/>
            </w:r>
            <w:r>
              <w:rPr>
                <w:rFonts w:hint="eastAsia" w:cs="宋体" w:asciiTheme="minorEastAsia" w:hAnsiTheme="minorEastAsia"/>
                <w:szCs w:val="21"/>
              </w:rPr>
              <w:t>（6）录音白板：录音白板是一个具底码的光面卡纸，使用时可先用白板笔直接书写在录音白板上，接着用学习笔点选录音白板进行录音功能，并记忆在录音白板上。</w:t>
            </w:r>
            <w:r>
              <w:rPr>
                <w:rFonts w:hint="eastAsia" w:cs="宋体" w:asciiTheme="minorEastAsia" w:hAnsiTheme="minorEastAsia"/>
                <w:szCs w:val="21"/>
              </w:rPr>
              <w:br w:type="textWrapping"/>
            </w:r>
            <w:r>
              <w:rPr>
                <w:rFonts w:hint="eastAsia" w:cs="宋体" w:asciiTheme="minorEastAsia" w:hAnsiTheme="minorEastAsia"/>
                <w:szCs w:val="21"/>
              </w:rPr>
              <w:t>（7）教学教案：产品拥有从评估、感官经验、概念建立、符号理解、语言理解及表达、类化等五个方面设计的配套教学教案，共9套。</w:t>
            </w:r>
          </w:p>
          <w:p>
            <w:pPr>
              <w:rPr>
                <w:rFonts w:cs="宋体" w:asciiTheme="minorEastAsia" w:hAnsiTheme="minorEastAsia"/>
                <w:szCs w:val="21"/>
              </w:rPr>
            </w:pPr>
            <w:r>
              <w:rPr>
                <w:rFonts w:hint="eastAsia" w:cs="宋体" w:asciiTheme="minorEastAsia" w:hAnsiTheme="minorEastAsia"/>
                <w:szCs w:val="21"/>
              </w:rPr>
              <w:t>4.具有播放音乐功能。</w:t>
            </w:r>
          </w:p>
          <w:p>
            <w:pPr>
              <w:jc w:val="both"/>
              <w:rPr>
                <w:rFonts w:cs="宋体" w:asciiTheme="minorEastAsia" w:hAnsiTheme="minorEastAsia"/>
                <w:szCs w:val="21"/>
              </w:rPr>
            </w:pPr>
            <w:r>
              <w:rPr>
                <w:rFonts w:cs="宋体" w:asciiTheme="minorEastAsia" w:hAnsiTheme="minorEastAsia"/>
                <w:szCs w:val="21"/>
              </w:rPr>
              <w:t>5.沟通笔</w:t>
            </w:r>
            <w:r>
              <w:rPr>
                <w:rFonts w:hint="eastAsia" w:cs="宋体" w:asciiTheme="minorEastAsia" w:hAnsiTheme="minorEastAsia"/>
                <w:szCs w:val="21"/>
              </w:rPr>
              <w:t>：</w:t>
            </w:r>
            <w:r>
              <w:rPr>
                <w:rFonts w:cs="宋体" w:asciiTheme="minorEastAsia" w:hAnsiTheme="minorEastAsia"/>
                <w:szCs w:val="21"/>
              </w:rPr>
              <w:t>采用烤漆白色塑料材质</w:t>
            </w:r>
            <w:r>
              <w:rPr>
                <w:rFonts w:hint="eastAsia" w:cs="宋体" w:asciiTheme="minorEastAsia" w:hAnsiTheme="minorEastAsia"/>
                <w:szCs w:val="21"/>
              </w:rPr>
              <w:t>，</w:t>
            </w:r>
            <w:r>
              <w:rPr>
                <w:rFonts w:cs="宋体" w:asciiTheme="minorEastAsia" w:hAnsiTheme="minorEastAsia"/>
                <w:szCs w:val="21"/>
              </w:rPr>
              <w:t>可反复充电</w:t>
            </w:r>
            <w:r>
              <w:rPr>
                <w:rFonts w:hint="eastAsia" w:cs="宋体" w:asciiTheme="minorEastAsia" w:hAnsiTheme="minorEastAsia"/>
                <w:szCs w:val="21"/>
              </w:rPr>
              <w:t>，</w:t>
            </w:r>
            <w:r>
              <w:rPr>
                <w:rFonts w:cs="宋体" w:asciiTheme="minorEastAsia" w:hAnsiTheme="minorEastAsia"/>
                <w:szCs w:val="21"/>
              </w:rPr>
              <w:t>更加环保</w:t>
            </w:r>
            <w:r>
              <w:rPr>
                <w:rFonts w:hint="eastAsia" w:cs="宋体" w:asciiTheme="minorEastAsia" w:hAnsiTheme="minorEastAsia"/>
                <w:szCs w:val="21"/>
              </w:rPr>
              <w:t>。</w:t>
            </w:r>
          </w:p>
          <w:p>
            <w:r>
              <w:rPr>
                <w:rFonts w:hint="eastAsia" w:cs="宋体" w:asciiTheme="minorEastAsia" w:hAnsiTheme="minorEastAsia"/>
                <w:szCs w:val="21"/>
              </w:rPr>
              <w:t>6.尺寸：26*36*9cm。</w:t>
            </w:r>
          </w:p>
        </w:tc>
        <w:tc>
          <w:tcPr>
            <w:tcW w:w="735" w:type="dxa"/>
            <w:shd w:val="clear" w:color="auto" w:fill="FFFFFF"/>
            <w:tcMar>
              <w:top w:w="15" w:type="dxa"/>
              <w:left w:w="15" w:type="dxa"/>
              <w:right w:w="15" w:type="dxa"/>
            </w:tcMar>
            <w:vAlign w:val="center"/>
          </w:tcPr>
          <w:p>
            <w:pPr>
              <w:jc w:val="center"/>
              <w:rPr>
                <w:rFonts w:asciiTheme="minorEastAsia" w:hAnsiTheme="minorEastAsia"/>
              </w:rPr>
            </w:pP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r>
              <w:rPr>
                <w:rFonts w:hint="eastAsia" w:cs="宋体" w:asciiTheme="minorEastAsia" w:hAnsiTheme="minorEastAsia"/>
                <w:color w:val="000000"/>
                <w:kern w:val="0"/>
                <w:szCs w:val="21"/>
                <w:lang w:bidi="ar"/>
              </w:rPr>
              <w:t>套</w:t>
            </w: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r>
              <w:rPr>
                <w:rFonts w:hint="eastAsia" w:cs="宋体" w:asciiTheme="minorEastAsia" w:hAnsiTheme="minorEastAsia"/>
                <w:color w:val="000000"/>
                <w:kern w:val="0"/>
                <w:szCs w:val="21"/>
                <w:lang w:bidi="ar"/>
              </w:rPr>
              <w:t>1</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03960" cy="8858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1205018" cy="88660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2</w:t>
            </w:r>
          </w:p>
        </w:tc>
        <w:tc>
          <w:tcPr>
            <w:tcW w:w="1127" w:type="dxa"/>
            <w:shd w:val="clear" w:color="auto" w:fill="auto"/>
            <w:tcMar>
              <w:top w:w="15" w:type="dxa"/>
              <w:left w:w="15" w:type="dxa"/>
              <w:right w:w="15" w:type="dxa"/>
            </w:tcMar>
            <w:vAlign w:val="center"/>
          </w:tcPr>
          <w:p>
            <w:pPr>
              <w:jc w:val="center"/>
            </w:pPr>
            <w:r>
              <w:rPr>
                <w:rFonts w:hint="eastAsia"/>
              </w:rPr>
              <w:t>语言（听说）双向训练管理套装</w:t>
            </w:r>
          </w:p>
        </w:tc>
        <w:tc>
          <w:tcPr>
            <w:tcW w:w="8255" w:type="dxa"/>
            <w:shd w:val="clear" w:color="auto" w:fill="auto"/>
            <w:tcMar>
              <w:top w:w="15" w:type="dxa"/>
              <w:left w:w="15" w:type="dxa"/>
              <w:right w:w="15" w:type="dxa"/>
            </w:tcMar>
          </w:tcPr>
          <w:p>
            <w:pPr>
              <w:rPr>
                <w:rFonts w:asciiTheme="minorEastAsia" w:hAnsiTheme="minorEastAsia"/>
                <w:b/>
                <w:bCs/>
                <w:szCs w:val="21"/>
              </w:rPr>
            </w:pPr>
            <w:r>
              <w:rPr>
                <w:rFonts w:hint="eastAsia" w:asciiTheme="minorEastAsia" w:hAnsiTheme="minorEastAsia"/>
                <w:b/>
                <w:bCs/>
                <w:szCs w:val="21"/>
              </w:rPr>
              <w:t>软件具有国家版权局颁发的软件著作权登记证书。</w:t>
            </w:r>
          </w:p>
          <w:p>
            <w:pPr>
              <w:tabs>
                <w:tab w:val="left" w:pos="1800"/>
                <w:tab w:val="left" w:pos="5580"/>
              </w:tabs>
              <w:rPr>
                <w:rFonts w:asciiTheme="minorEastAsia" w:hAnsiTheme="minorEastAsia"/>
                <w:szCs w:val="21"/>
              </w:rPr>
            </w:pPr>
            <w:r>
              <w:rPr>
                <w:rFonts w:hint="eastAsia" w:asciiTheme="minorEastAsia" w:hAnsiTheme="minorEastAsia"/>
                <w:b/>
                <w:bCs/>
                <w:iCs/>
                <w:szCs w:val="21"/>
              </w:rPr>
              <w:t>软件具有省级或国家级检测机构出具的软件产品登记测试报告。</w:t>
            </w:r>
          </w:p>
          <w:p>
            <w:pPr>
              <w:rPr>
                <w:rFonts w:cs="宋体" w:asciiTheme="minorEastAsia" w:hAnsiTheme="minorEastAsia"/>
                <w:szCs w:val="21"/>
              </w:rPr>
            </w:pPr>
            <w:r>
              <w:rPr>
                <w:rFonts w:hint="eastAsia" w:asciiTheme="minorEastAsia" w:hAnsiTheme="minorEastAsia"/>
                <w:szCs w:val="21"/>
              </w:rPr>
              <w:t>语言障碍（听说）双向训练管理</w:t>
            </w:r>
            <w:r>
              <w:rPr>
                <w:rFonts w:hint="eastAsia" w:asciiTheme="minorEastAsia" w:hAnsiTheme="minorEastAsia"/>
                <w:color w:val="000000"/>
                <w:szCs w:val="21"/>
              </w:rPr>
              <w:t>套装</w:t>
            </w:r>
            <w:r>
              <w:rPr>
                <w:rFonts w:hint="eastAsia" w:asciiTheme="minorEastAsia" w:hAnsiTheme="minorEastAsia"/>
                <w:szCs w:val="21"/>
              </w:rPr>
              <w:t>是一套软硬件</w:t>
            </w:r>
            <w:r>
              <w:rPr>
                <w:rFonts w:asciiTheme="minorEastAsia" w:hAnsiTheme="minorEastAsia"/>
                <w:szCs w:val="21"/>
              </w:rPr>
              <w:t>相结合的产品</w:t>
            </w:r>
            <w:r>
              <w:rPr>
                <w:rFonts w:hint="eastAsia" w:asciiTheme="minorEastAsia" w:hAnsiTheme="minorEastAsia"/>
                <w:szCs w:val="21"/>
              </w:rPr>
              <w:t>，</w:t>
            </w:r>
            <w:r>
              <w:rPr>
                <w:rFonts w:hint="eastAsia" w:cs="宋体" w:asciiTheme="minorEastAsia" w:hAnsiTheme="minorEastAsia"/>
                <w:szCs w:val="21"/>
              </w:rPr>
              <w:t>包含语言障碍（听说）双向训练管理系统软件与语言障碍（听说）双向训练桌。</w:t>
            </w:r>
          </w:p>
          <w:p>
            <w:pPr>
              <w:rPr>
                <w:rFonts w:cs="宋体" w:asciiTheme="minorEastAsia" w:hAnsiTheme="minorEastAsia"/>
                <w:szCs w:val="21"/>
              </w:rPr>
            </w:pPr>
            <w:r>
              <w:rPr>
                <w:rFonts w:hint="eastAsia" w:cs="宋体" w:asciiTheme="minorEastAsia" w:hAnsiTheme="minorEastAsia"/>
                <w:szCs w:val="21"/>
              </w:rPr>
              <w:t>一</w:t>
            </w:r>
            <w:r>
              <w:rPr>
                <w:rFonts w:cs="宋体" w:asciiTheme="minorEastAsia" w:hAnsiTheme="minorEastAsia"/>
                <w:szCs w:val="21"/>
              </w:rPr>
              <w:t>、</w:t>
            </w:r>
            <w:r>
              <w:rPr>
                <w:rFonts w:hint="eastAsia" w:cs="宋体" w:asciiTheme="minorEastAsia" w:hAnsiTheme="minorEastAsia"/>
                <w:szCs w:val="21"/>
              </w:rPr>
              <w:t>语言障碍（听说）双向训练管理</w:t>
            </w:r>
            <w:r>
              <w:rPr>
                <w:rFonts w:hint="eastAsia" w:asciiTheme="minorEastAsia" w:hAnsiTheme="minorEastAsia"/>
                <w:color w:val="000000"/>
                <w:szCs w:val="21"/>
              </w:rPr>
              <w:t>套装</w:t>
            </w:r>
            <w:r>
              <w:rPr>
                <w:rFonts w:hint="eastAsia" w:cs="宋体" w:asciiTheme="minorEastAsia" w:hAnsiTheme="minorEastAsia"/>
                <w:szCs w:val="21"/>
              </w:rPr>
              <w:t>软件：包含学习中心、学生管理、评估中心、训练中心、个人报告、系统管理等功能模块。</w:t>
            </w:r>
          </w:p>
          <w:p>
            <w:pPr>
              <w:rPr>
                <w:rFonts w:cs="宋体" w:asciiTheme="minorEastAsia" w:hAnsiTheme="minorEastAsia"/>
                <w:szCs w:val="21"/>
              </w:rPr>
            </w:pPr>
            <w:r>
              <w:rPr>
                <w:rFonts w:hint="eastAsia" w:cs="宋体" w:asciiTheme="minorEastAsia" w:hAnsiTheme="minorEastAsia"/>
                <w:szCs w:val="21"/>
              </w:rPr>
              <w:t>软件功能：</w:t>
            </w:r>
          </w:p>
          <w:p>
            <w:pPr>
              <w:rPr>
                <w:rFonts w:cs="宋体" w:asciiTheme="minorEastAsia" w:hAnsiTheme="minorEastAsia"/>
                <w:szCs w:val="21"/>
              </w:rPr>
            </w:pPr>
            <w:r>
              <w:rPr>
                <w:rFonts w:hint="eastAsia" w:cs="宋体" w:asciiTheme="minorEastAsia" w:hAnsiTheme="minorEastAsia"/>
                <w:szCs w:val="21"/>
              </w:rPr>
              <w:t>1.提供真人教学视频，教师与学生真实训练场景录制，清晰展示使用语言障碍（听说）双向训练桌教学的全过程。含多种训练方案，有认识素材、认识方位、老师发起的训练、学生发起的训练等循序渐进的训练模式，教师可根据学生具体情况选择适合的训练方案；</w:t>
            </w:r>
          </w:p>
          <w:p>
            <w:pPr>
              <w:rPr>
                <w:rFonts w:cs="宋体" w:asciiTheme="minorEastAsia" w:hAnsiTheme="minorEastAsia"/>
                <w:szCs w:val="21"/>
              </w:rPr>
            </w:pPr>
            <w:r>
              <w:rPr>
                <w:rFonts w:hint="eastAsia" w:cs="宋体" w:asciiTheme="minorEastAsia" w:hAnsiTheme="minorEastAsia"/>
                <w:szCs w:val="21"/>
              </w:rPr>
              <w:t>2.提供学生信息管理功能，教师可灵活添加、删除、编辑训练学生的基本信息；</w:t>
            </w:r>
          </w:p>
          <w:p>
            <w:pPr>
              <w:rPr>
                <w:rFonts w:cs="宋体" w:asciiTheme="minorEastAsia" w:hAnsiTheme="minorEastAsia"/>
                <w:szCs w:val="21"/>
              </w:rPr>
            </w:pPr>
            <w:r>
              <w:rPr>
                <w:rFonts w:hint="eastAsia" w:cs="宋体" w:asciiTheme="minorEastAsia" w:hAnsiTheme="minorEastAsia"/>
                <w:szCs w:val="21"/>
              </w:rPr>
              <w:t>3、系统提供语言能力评估工具（皮博迪图片词汇测验），可对学生的语言理解能力进行评估；测试完成后自动生成测试结果报告。</w:t>
            </w:r>
          </w:p>
          <w:p>
            <w:pPr>
              <w:rPr>
                <w:rFonts w:cs="宋体" w:asciiTheme="minorEastAsia" w:hAnsiTheme="minorEastAsia"/>
                <w:szCs w:val="21"/>
              </w:rPr>
            </w:pPr>
            <w:r>
              <w:rPr>
                <w:rFonts w:hint="eastAsia" w:cs="宋体" w:asciiTheme="minorEastAsia" w:hAnsiTheme="minorEastAsia"/>
                <w:szCs w:val="21"/>
              </w:rPr>
              <w:t>4、可进行训练过程记录，包含文字描述、录音输入、图片记录等格式，自动生成WORD版本评估报告与训练报告，可以导出。</w:t>
            </w:r>
          </w:p>
          <w:p>
            <w:pPr>
              <w:rPr>
                <w:rFonts w:asciiTheme="minorEastAsia" w:hAnsiTheme="minorEastAsia"/>
                <w:szCs w:val="21"/>
              </w:rPr>
            </w:pPr>
            <w:r>
              <w:rPr>
                <w:rFonts w:hint="eastAsia" w:asciiTheme="minorEastAsia" w:hAnsiTheme="minorEastAsia"/>
                <w:szCs w:val="21"/>
              </w:rPr>
              <w:t>二</w:t>
            </w:r>
            <w:r>
              <w:rPr>
                <w:rFonts w:asciiTheme="minorEastAsia" w:hAnsiTheme="minorEastAsia"/>
                <w:szCs w:val="21"/>
              </w:rPr>
              <w:t>、</w:t>
            </w:r>
            <w:r>
              <w:rPr>
                <w:rFonts w:hint="eastAsia" w:asciiTheme="minorEastAsia" w:hAnsiTheme="minorEastAsia"/>
                <w:szCs w:val="21"/>
              </w:rPr>
              <w:t>语言障碍（听说）双向训练系统硬件部分</w:t>
            </w:r>
            <w:r>
              <w:rPr>
                <w:rFonts w:asciiTheme="minorEastAsia" w:hAnsiTheme="minorEastAsia"/>
                <w:szCs w:val="21"/>
              </w:rPr>
              <w:t>包含：</w:t>
            </w:r>
          </w:p>
          <w:p>
            <w:pPr>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.操作台2</w:t>
            </w:r>
            <w:r>
              <w:rPr>
                <w:rFonts w:hint="eastAsia" w:asciiTheme="minorEastAsia" w:hAnsiTheme="minorEastAsia"/>
                <w:szCs w:val="21"/>
              </w:rPr>
              <w:t>个：</w:t>
            </w:r>
            <w:r>
              <w:rPr>
                <w:rFonts w:asciiTheme="minorEastAsia" w:hAnsiTheme="minorEastAsia"/>
                <w:szCs w:val="21"/>
              </w:rPr>
              <w:t>操作台为纯实木材质，尺寸为60</w:t>
            </w:r>
            <w:r>
              <w:rPr>
                <w:rFonts w:hint="eastAsia" w:asciiTheme="minorEastAsia" w:hAnsiTheme="minorEastAsia"/>
                <w:szCs w:val="21"/>
              </w:rPr>
              <w:t>*40*</w:t>
            </w:r>
            <w:r>
              <w:rPr>
                <w:rFonts w:asciiTheme="minorEastAsia" w:hAnsiTheme="minorEastAsia"/>
                <w:szCs w:val="21"/>
              </w:rPr>
              <w:t>7</w:t>
            </w:r>
            <w:r>
              <w:rPr>
                <w:rFonts w:hint="eastAsia" w:asciiTheme="minorEastAsia" w:hAnsiTheme="minorEastAsia"/>
                <w:szCs w:val="21"/>
              </w:rPr>
              <w:t>5</w:t>
            </w:r>
            <w:r>
              <w:rPr>
                <w:rFonts w:asciiTheme="minorEastAsia" w:hAnsiTheme="minorEastAsia"/>
                <w:szCs w:val="21"/>
              </w:rPr>
              <w:t>cm，</w:t>
            </w:r>
            <w:r>
              <w:rPr>
                <w:rFonts w:hint="eastAsia" w:asciiTheme="minorEastAsia" w:hAnsiTheme="minorEastAsia"/>
                <w:szCs w:val="21"/>
              </w:rPr>
              <w:t>带有</w:t>
            </w:r>
            <w:r>
              <w:rPr>
                <w:rFonts w:asciiTheme="minorEastAsia" w:hAnsiTheme="minorEastAsia"/>
                <w:szCs w:val="21"/>
              </w:rPr>
              <w:t>1个抽屉</w:t>
            </w:r>
            <w:r>
              <w:rPr>
                <w:rFonts w:hint="eastAsia" w:asciiTheme="minorEastAsia" w:hAnsiTheme="minorEastAsia"/>
                <w:szCs w:val="21"/>
              </w:rPr>
              <w:t>。操作台</w:t>
            </w:r>
            <w:r>
              <w:rPr>
                <w:rFonts w:asciiTheme="minorEastAsia" w:hAnsiTheme="minorEastAsia"/>
                <w:szCs w:val="21"/>
              </w:rPr>
              <w:t>面板可掀起</w:t>
            </w:r>
            <w:r>
              <w:rPr>
                <w:rFonts w:hint="eastAsia" w:asciiTheme="minorEastAsia" w:hAnsiTheme="minorEastAsia"/>
                <w:szCs w:val="21"/>
              </w:rPr>
              <w:t>，</w:t>
            </w:r>
            <w:r>
              <w:rPr>
                <w:rFonts w:asciiTheme="minorEastAsia" w:hAnsiTheme="minorEastAsia"/>
                <w:szCs w:val="21"/>
              </w:rPr>
              <w:t>面板与桌面由</w:t>
            </w:r>
            <w:r>
              <w:rPr>
                <w:rFonts w:hint="eastAsia" w:asciiTheme="minorEastAsia" w:hAnsiTheme="minorEastAsia"/>
                <w:szCs w:val="21"/>
              </w:rPr>
              <w:t>阻尼合页及</w:t>
            </w:r>
            <w:r>
              <w:rPr>
                <w:rFonts w:asciiTheme="minorEastAsia" w:hAnsiTheme="minorEastAsia"/>
                <w:szCs w:val="21"/>
              </w:rPr>
              <w:t>气压顶杆</w:t>
            </w:r>
            <w:r>
              <w:rPr>
                <w:rFonts w:hint="eastAsia" w:asciiTheme="minorEastAsia" w:hAnsiTheme="minorEastAsia"/>
                <w:szCs w:val="21"/>
              </w:rPr>
              <w:t>连接</w:t>
            </w:r>
            <w:r>
              <w:rPr>
                <w:rFonts w:asciiTheme="minorEastAsia" w:hAnsiTheme="minorEastAsia"/>
                <w:szCs w:val="21"/>
              </w:rPr>
              <w:t>，</w:t>
            </w:r>
            <w:r>
              <w:rPr>
                <w:rFonts w:hint="eastAsia" w:asciiTheme="minorEastAsia" w:hAnsiTheme="minorEastAsia"/>
                <w:szCs w:val="21"/>
              </w:rPr>
              <w:t>面板内侧</w:t>
            </w:r>
            <w:r>
              <w:rPr>
                <w:rFonts w:asciiTheme="minorEastAsia" w:hAnsiTheme="minorEastAsia"/>
                <w:szCs w:val="21"/>
              </w:rPr>
              <w:t>嵌有磁力板，面板</w:t>
            </w:r>
            <w:r>
              <w:rPr>
                <w:rFonts w:hint="eastAsia" w:asciiTheme="minorEastAsia" w:hAnsiTheme="minorEastAsia"/>
                <w:szCs w:val="21"/>
              </w:rPr>
              <w:t>下含有</w:t>
            </w:r>
            <w:r>
              <w:rPr>
                <w:rFonts w:asciiTheme="minorEastAsia" w:hAnsiTheme="minorEastAsia"/>
                <w:szCs w:val="21"/>
              </w:rPr>
              <w:t>六个方格</w:t>
            </w:r>
            <w:r>
              <w:rPr>
                <w:rFonts w:hint="eastAsia" w:asciiTheme="minorEastAsia" w:hAnsiTheme="minorEastAsia"/>
                <w:szCs w:val="21"/>
              </w:rPr>
              <w:t>，</w:t>
            </w:r>
            <w:r>
              <w:rPr>
                <w:rFonts w:asciiTheme="minorEastAsia" w:hAnsiTheme="minorEastAsia"/>
                <w:szCs w:val="21"/>
              </w:rPr>
              <w:t>用于</w:t>
            </w:r>
            <w:r>
              <w:rPr>
                <w:rFonts w:hint="eastAsia" w:asciiTheme="minorEastAsia" w:hAnsiTheme="minorEastAsia"/>
                <w:szCs w:val="21"/>
              </w:rPr>
              <w:t>分类</w:t>
            </w:r>
            <w:r>
              <w:rPr>
                <w:rFonts w:asciiTheme="minorEastAsia" w:hAnsiTheme="minorEastAsia"/>
                <w:szCs w:val="21"/>
              </w:rPr>
              <w:t>放置磁力贴</w:t>
            </w:r>
            <w:r>
              <w:rPr>
                <w:rFonts w:hint="eastAsia" w:asciiTheme="minorEastAsia" w:hAnsiTheme="minorEastAsia"/>
                <w:szCs w:val="21"/>
              </w:rPr>
              <w:t>。</w:t>
            </w:r>
          </w:p>
          <w:p>
            <w:pPr>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.木质</w:t>
            </w:r>
            <w:r>
              <w:rPr>
                <w:rFonts w:hint="eastAsia" w:asciiTheme="minorEastAsia" w:hAnsiTheme="minorEastAsia"/>
                <w:szCs w:val="21"/>
              </w:rPr>
              <w:t>操作座椅2个</w:t>
            </w:r>
            <w:r>
              <w:rPr>
                <w:rFonts w:asciiTheme="minorEastAsia" w:hAnsiTheme="minorEastAsia"/>
                <w:szCs w:val="21"/>
              </w:rPr>
              <w:t>。</w:t>
            </w:r>
          </w:p>
          <w:p>
            <w:pPr>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w:t>
            </w:r>
            <w:r>
              <w:rPr>
                <w:rFonts w:hint="eastAsia" w:asciiTheme="minorEastAsia" w:hAnsiTheme="minorEastAsia"/>
                <w:szCs w:val="21"/>
              </w:rPr>
              <w:t>磁力面板2个</w:t>
            </w:r>
            <w:r>
              <w:rPr>
                <w:rFonts w:asciiTheme="minorEastAsia" w:hAnsiTheme="minorEastAsia"/>
                <w:szCs w:val="21"/>
              </w:rPr>
              <w:t>。</w:t>
            </w:r>
          </w:p>
          <w:p>
            <w:pPr>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w:t>
            </w:r>
            <w:r>
              <w:rPr>
                <w:rFonts w:hint="eastAsia" w:asciiTheme="minorEastAsia" w:hAnsiTheme="minorEastAsia"/>
                <w:szCs w:val="21"/>
              </w:rPr>
              <w:t>磁力</w:t>
            </w:r>
            <w:r>
              <w:rPr>
                <w:rFonts w:asciiTheme="minorEastAsia" w:hAnsiTheme="minorEastAsia"/>
                <w:szCs w:val="21"/>
              </w:rPr>
              <w:t>贴片</w:t>
            </w:r>
            <w:r>
              <w:rPr>
                <w:rFonts w:hint="eastAsia" w:asciiTheme="minorEastAsia" w:hAnsiTheme="minorEastAsia"/>
                <w:szCs w:val="21"/>
              </w:rPr>
              <w:t>2套</w:t>
            </w:r>
            <w:r>
              <w:rPr>
                <w:rFonts w:asciiTheme="minorEastAsia" w:hAnsiTheme="minorEastAsia"/>
                <w:szCs w:val="21"/>
              </w:rPr>
              <w:t>。</w:t>
            </w:r>
            <w:r>
              <w:rPr>
                <w:rFonts w:hint="eastAsia" w:asciiTheme="minorEastAsia" w:hAnsiTheme="minorEastAsia"/>
                <w:szCs w:val="21"/>
              </w:rPr>
              <w:t>包含</w:t>
            </w:r>
            <w:r>
              <w:rPr>
                <w:rFonts w:asciiTheme="minorEastAsia" w:hAnsiTheme="minorEastAsia"/>
                <w:szCs w:val="21"/>
              </w:rPr>
              <w:t>动物、植物、数字</w:t>
            </w:r>
            <w:r>
              <w:rPr>
                <w:rFonts w:hint="eastAsia" w:asciiTheme="minorEastAsia" w:hAnsiTheme="minorEastAsia"/>
                <w:szCs w:val="21"/>
              </w:rPr>
              <w:t>、</w:t>
            </w:r>
            <w:r>
              <w:rPr>
                <w:rFonts w:asciiTheme="minorEastAsia" w:hAnsiTheme="minorEastAsia"/>
                <w:szCs w:val="21"/>
              </w:rPr>
              <w:t>字母等不同颜色形状等素材。</w:t>
            </w:r>
          </w:p>
          <w:p>
            <w:pPr>
              <w:rPr>
                <w:rFonts w:asciiTheme="minorEastAsia" w:hAnsiTheme="minorEastAsia"/>
                <w:szCs w:val="21"/>
              </w:rPr>
            </w:pPr>
            <w:r>
              <w:rPr>
                <w:rFonts w:hint="eastAsia" w:asciiTheme="minorEastAsia" w:hAnsiTheme="minorEastAsia"/>
                <w:szCs w:val="21"/>
              </w:rPr>
              <w:t>5</w:t>
            </w:r>
            <w:r>
              <w:rPr>
                <w:rFonts w:asciiTheme="minorEastAsia" w:hAnsiTheme="minorEastAsia"/>
                <w:szCs w:val="21"/>
              </w:rPr>
              <w:t>.操作终端</w:t>
            </w:r>
            <w:r>
              <w:rPr>
                <w:rFonts w:hint="eastAsia" w:asciiTheme="minorEastAsia" w:hAnsiTheme="minorEastAsia"/>
                <w:szCs w:val="21"/>
              </w:rPr>
              <w:t>1台</w:t>
            </w:r>
            <w:r>
              <w:rPr>
                <w:rFonts w:asciiTheme="minorEastAsia" w:hAnsiTheme="minorEastAsia"/>
                <w:szCs w:val="21"/>
              </w:rPr>
              <w:t>。</w:t>
            </w:r>
          </w:p>
          <w:p>
            <w:pPr>
              <w:rPr>
                <w:rFonts w:asciiTheme="minorEastAsia" w:hAnsiTheme="minorEastAsia"/>
                <w:szCs w:val="21"/>
              </w:rPr>
            </w:pPr>
            <w:r>
              <w:rPr>
                <w:rFonts w:hint="eastAsia" w:asciiTheme="minorEastAsia" w:hAnsiTheme="minorEastAsia"/>
                <w:szCs w:val="21"/>
              </w:rPr>
              <w:t>使用方法：</w:t>
            </w:r>
          </w:p>
          <w:p>
            <w:r>
              <w:rPr>
                <w:rFonts w:hint="eastAsia" w:asciiTheme="minorEastAsia" w:hAnsiTheme="minorEastAsia"/>
                <w:szCs w:val="21"/>
              </w:rPr>
              <w:t>将</w:t>
            </w:r>
            <w:r>
              <w:rPr>
                <w:rFonts w:asciiTheme="minorEastAsia" w:hAnsiTheme="minorEastAsia"/>
                <w:szCs w:val="21"/>
              </w:rPr>
              <w:t>两个操作台背对放置，</w:t>
            </w:r>
            <w:r>
              <w:rPr>
                <w:rFonts w:hint="eastAsia" w:asciiTheme="minorEastAsia" w:hAnsiTheme="minorEastAsia"/>
                <w:szCs w:val="21"/>
              </w:rPr>
              <w:t>由辅导老师和学生面对面分别坐在操作台前方，打开操作台面板，辅导老师可以要求坐在对面的学生按照老师语言表述的顺序依次把素材黏贴到白瓷板相应的位置上，锻炼学生的感官、手眼协调、认知和听的能力。也可以要求学生来依次黏贴素材告诉辅导老师黏贴到白瓷板相应的位置上，锻炼学生的感官、手眼协调、认知和说的能力。</w:t>
            </w:r>
          </w:p>
        </w:tc>
        <w:tc>
          <w:tcPr>
            <w:tcW w:w="735" w:type="dxa"/>
            <w:shd w:val="clear" w:color="auto" w:fill="FFFFFF"/>
            <w:tcMar>
              <w:top w:w="15" w:type="dxa"/>
              <w:left w:w="15" w:type="dxa"/>
              <w:right w:w="15" w:type="dxa"/>
            </w:tcMar>
            <w:vAlign w:val="center"/>
          </w:tcPr>
          <w:p>
            <w:pPr>
              <w:jc w:val="center"/>
              <w:rPr>
                <w:rFonts w:asciiTheme="minorEastAsia" w:hAnsiTheme="minorEastAsia"/>
              </w:rPr>
            </w:pP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r>
              <w:rPr>
                <w:rFonts w:hint="eastAsia" w:cs="宋体" w:asciiTheme="minorEastAsia" w:hAnsiTheme="minorEastAsia"/>
                <w:color w:val="000000"/>
                <w:kern w:val="0"/>
                <w:szCs w:val="21"/>
                <w:lang w:bidi="ar"/>
              </w:rPr>
              <w:t>套</w:t>
            </w: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r>
              <w:rPr>
                <w:rFonts w:hint="eastAsia" w:cs="宋体" w:asciiTheme="minorEastAsia" w:hAnsiTheme="minorEastAsia"/>
                <w:color w:val="000000"/>
                <w:kern w:val="0"/>
                <w:szCs w:val="21"/>
                <w:lang w:bidi="ar"/>
              </w:rPr>
              <w:t>1</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095375" cy="1288415"/>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1096336" cy="1289948"/>
                          </a:xfrm>
                          <a:prstGeom prst="rect">
                            <a:avLst/>
                          </a:prstGeom>
                        </pic:spPr>
                      </pic:pic>
                    </a:graphicData>
                  </a:graphic>
                </wp:inline>
              </w:drawing>
            </w:r>
          </w:p>
          <w:p>
            <w:pPr>
              <w:adjustRightInd w:val="0"/>
              <w:snapToGrid w:val="0"/>
              <w:jc w:val="left"/>
              <w:rPr>
                <w:rFonts w:ascii="宋体" w:hAnsi="宋体" w:cs="宋体"/>
                <w:color w:val="000000"/>
                <w:szCs w:val="21"/>
              </w:rPr>
            </w:pPr>
          </w:p>
          <w:p>
            <w:pPr>
              <w:adjustRightInd w:val="0"/>
              <w:snapToGrid w:val="0"/>
              <w:jc w:val="left"/>
              <w:rPr>
                <w:rFonts w:ascii="宋体" w:hAnsi="宋体" w:cs="宋体"/>
                <w:color w:val="000000"/>
                <w:szCs w:val="21"/>
              </w:rPr>
            </w:pPr>
          </w:p>
          <w:p>
            <w:pPr>
              <w:adjustRightInd w:val="0"/>
              <w:snapToGrid w:val="0"/>
              <w:jc w:val="left"/>
              <w:rPr>
                <w:rFonts w:ascii="宋体" w:hAnsi="宋体" w:cs="宋体"/>
                <w:color w:val="000000"/>
                <w:szCs w:val="21"/>
              </w:rPr>
            </w:pPr>
            <w:r>
              <w:drawing>
                <wp:inline distT="0" distB="0" distL="0" distR="0">
                  <wp:extent cx="1205230" cy="9429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1206585" cy="943802"/>
                          </a:xfrm>
                          <a:prstGeom prst="rect">
                            <a:avLst/>
                          </a:prstGeom>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r>
              <w:drawing>
                <wp:inline distT="0" distB="0" distL="0" distR="0">
                  <wp:extent cx="1183005" cy="12858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1185602" cy="128847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27"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语言功能评估训练系统</w:t>
            </w:r>
          </w:p>
        </w:tc>
        <w:tc>
          <w:tcPr>
            <w:tcW w:w="8255" w:type="dxa"/>
            <w:shd w:val="clear" w:color="auto" w:fill="auto"/>
            <w:tcMar>
              <w:top w:w="15" w:type="dxa"/>
              <w:left w:w="15" w:type="dxa"/>
              <w:right w:w="15" w:type="dxa"/>
            </w:tcMar>
            <w:vAlign w:val="center"/>
          </w:tcPr>
          <w:p>
            <w:pPr>
              <w:rPr>
                <w:rFonts w:asciiTheme="minorEastAsia" w:hAnsiTheme="minorEastAsia"/>
                <w:szCs w:val="21"/>
              </w:rPr>
            </w:pPr>
            <w:r>
              <w:rPr>
                <w:rFonts w:hint="eastAsia" w:asciiTheme="minorEastAsia" w:hAnsiTheme="minorEastAsia"/>
                <w:szCs w:val="21"/>
              </w:rPr>
              <w:t>语言功能评估训练系统包括基础评估、进阶评估和语言训练三大核心功能。系统提供的全部评估与训练内容均与卡片一致，可配套搭配使用。</w:t>
            </w:r>
          </w:p>
          <w:p>
            <w:pPr>
              <w:rPr>
                <w:rFonts w:asciiTheme="minorEastAsia" w:hAnsiTheme="minorEastAsia"/>
                <w:szCs w:val="21"/>
              </w:rPr>
            </w:pPr>
            <w:r>
              <w:rPr>
                <w:rFonts w:hint="eastAsia" w:asciiTheme="minorEastAsia" w:hAnsiTheme="minorEastAsia"/>
                <w:szCs w:val="21"/>
              </w:rPr>
              <w:t>基础评估为语言基础能力的评定，又划分为语音清晰度测试、模仿句长、听话识图、看图说话、主题对话五个部分。为方便使用，系统的每个评估内容都提供了配套图片及真人发音。评估结束后系统自动生成对应评估报告，可以查看或导出文档。</w:t>
            </w:r>
          </w:p>
          <w:p>
            <w:pPr>
              <w:rPr>
                <w:rFonts w:asciiTheme="minorEastAsia" w:hAnsiTheme="minorEastAsia"/>
                <w:szCs w:val="21"/>
              </w:rPr>
            </w:pPr>
            <w:r>
              <w:rPr>
                <w:rFonts w:hint="eastAsia" w:asciiTheme="minorEastAsia" w:hAnsiTheme="minorEastAsia"/>
                <w:szCs w:val="21"/>
              </w:rPr>
              <w:t>进阶评估为语言高级能力的评定，又划分为表述功能、工具功能、协调功能、表现功能、娱乐功能五个部分。在进阶评估里会对语言能力表答提出更高要求，如讲故事、表达感受、唱歌、判断称呼等。</w:t>
            </w:r>
          </w:p>
          <w:p>
            <w:pPr>
              <w:rPr>
                <w:rFonts w:asciiTheme="minorEastAsia" w:hAnsiTheme="minorEastAsia"/>
                <w:szCs w:val="21"/>
              </w:rPr>
            </w:pPr>
            <w:r>
              <w:rPr>
                <w:rFonts w:hint="eastAsia" w:asciiTheme="minorEastAsia" w:hAnsiTheme="minorEastAsia"/>
                <w:szCs w:val="21"/>
              </w:rPr>
              <w:t>语言训练部分包括看图说话、古诗诵读、我来讲故事、学唱儿歌、说绕口令、古诗续讲、画里有什么、即兴演讲八个模块，每个模块都提供了训练题目、图片、音视频资料等相关内容。教师可根据学生兴趣和能力表现情况选择适合的内容进行针对性训练。</w:t>
            </w:r>
          </w:p>
          <w:p>
            <w:pPr>
              <w:rPr>
                <w:rFonts w:ascii="宋体" w:hAnsi="宋体"/>
                <w:color w:val="000000"/>
                <w:szCs w:val="21"/>
              </w:rPr>
            </w:pPr>
            <w:r>
              <w:rPr>
                <w:rFonts w:hint="eastAsia" w:asciiTheme="minorEastAsia" w:hAnsiTheme="minorEastAsia"/>
                <w:szCs w:val="21"/>
              </w:rPr>
              <w:t>系统还提供了评估与训练的相关工具可在线查看应用或下载使用，如语言功能评估记录表、语言功能基础评估视频、使用说明和在线录音机等。</w:t>
            </w:r>
          </w:p>
        </w:tc>
        <w:tc>
          <w:tcPr>
            <w:tcW w:w="73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widowControl/>
              <w:adjustRightInd w:val="0"/>
              <w:snapToGrid w:val="0"/>
              <w:textAlignment w:val="center"/>
              <w:rPr>
                <w:rFonts w:ascii="宋体" w:hAnsi="宋体" w:cs="宋体"/>
                <w:color w:val="000000"/>
                <w:szCs w:val="21"/>
              </w:rPr>
            </w:pPr>
            <w:r>
              <w:drawing>
                <wp:inline distT="0" distB="0" distL="0" distR="0">
                  <wp:extent cx="1216660" cy="6858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1218016" cy="68640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w:t>
            </w:r>
          </w:p>
        </w:tc>
        <w:tc>
          <w:tcPr>
            <w:tcW w:w="1127"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语言能力评估与训练卡片</w:t>
            </w:r>
          </w:p>
        </w:tc>
        <w:tc>
          <w:tcPr>
            <w:tcW w:w="8255" w:type="dxa"/>
            <w:shd w:val="clear" w:color="auto" w:fill="auto"/>
            <w:tcMar>
              <w:top w:w="15" w:type="dxa"/>
              <w:left w:w="15" w:type="dxa"/>
              <w:right w:w="15" w:type="dxa"/>
            </w:tcMar>
            <w:vAlign w:val="center"/>
          </w:tcPr>
          <w:p>
            <w:pPr>
              <w:rPr>
                <w:rFonts w:asciiTheme="minorEastAsia" w:hAnsiTheme="minorEastAsia"/>
                <w:szCs w:val="21"/>
              </w:rPr>
            </w:pPr>
            <w:r>
              <w:rPr>
                <w:rFonts w:hint="eastAsia" w:asciiTheme="minorEastAsia" w:hAnsiTheme="minorEastAsia"/>
                <w:szCs w:val="21"/>
              </w:rPr>
              <w:t>语言能力评估与训练卡片由语言能力评估与训练卡片、语言能力评估与训练手册及配套软件组成。</w:t>
            </w:r>
          </w:p>
          <w:p>
            <w:pPr>
              <w:rPr>
                <w:rFonts w:asciiTheme="minorEastAsia" w:hAnsiTheme="minorEastAsia"/>
                <w:szCs w:val="21"/>
              </w:rPr>
            </w:pPr>
            <w:r>
              <w:rPr>
                <w:rFonts w:hint="eastAsia" w:asciiTheme="minorEastAsia" w:hAnsiTheme="minorEastAsia"/>
                <w:szCs w:val="21"/>
              </w:rPr>
              <w:t>语言能力评估与训练卡片通过语音清晰度测试、模仿句长、听话识图、看图说话、主题对话5个维度，对儿童语音清晰度及语言能力进行评估与训练，以此反应儿童的语言功能功能，并有针对性的进行训练。</w:t>
            </w:r>
          </w:p>
          <w:p>
            <w:pPr>
              <w:rPr>
                <w:rFonts w:asciiTheme="minorEastAsia" w:hAnsiTheme="minorEastAsia"/>
                <w:szCs w:val="21"/>
              </w:rPr>
            </w:pPr>
            <w:r>
              <w:rPr>
                <w:rFonts w:hint="eastAsia" w:asciiTheme="minorEastAsia" w:hAnsiTheme="minorEastAsia"/>
                <w:szCs w:val="21"/>
              </w:rPr>
              <w:t>1.语言能力评估与训练卡片分为：</w:t>
            </w:r>
          </w:p>
          <w:p>
            <w:pPr>
              <w:rPr>
                <w:rFonts w:asciiTheme="minorEastAsia" w:hAnsiTheme="minorEastAsia"/>
                <w:szCs w:val="21"/>
              </w:rPr>
            </w:pPr>
            <w:r>
              <w:rPr>
                <w:rFonts w:hint="eastAsia" w:asciiTheme="minorEastAsia" w:hAnsiTheme="minorEastAsia"/>
                <w:szCs w:val="21"/>
              </w:rPr>
              <w:t>（1）语音清晰度测试：包含动物、动作、物品、水果、蔬菜等方面词语，并配有图片，共50张卡片；</w:t>
            </w:r>
          </w:p>
          <w:p>
            <w:pPr>
              <w:rPr>
                <w:rFonts w:asciiTheme="minorEastAsia" w:hAnsiTheme="minorEastAsia"/>
                <w:szCs w:val="21"/>
              </w:rPr>
            </w:pPr>
            <w:r>
              <w:rPr>
                <w:rFonts w:hint="eastAsia" w:asciiTheme="minorEastAsia" w:hAnsiTheme="minorEastAsia"/>
                <w:szCs w:val="21"/>
              </w:rPr>
              <w:t>（2）模仿句长：根据从单个的词，到简单的语句，到复杂的语句，分为四个等级的内容，并配有图片，共40张卡片；</w:t>
            </w:r>
          </w:p>
          <w:p>
            <w:pPr>
              <w:rPr>
                <w:rFonts w:asciiTheme="minorEastAsia" w:hAnsiTheme="minorEastAsia"/>
                <w:szCs w:val="21"/>
              </w:rPr>
            </w:pPr>
            <w:r>
              <w:rPr>
                <w:rFonts w:hint="eastAsia" w:asciiTheme="minorEastAsia" w:hAnsiTheme="minorEastAsia"/>
                <w:szCs w:val="21"/>
              </w:rPr>
              <w:t>（3）听话识图： 包括物品识别（一级）、职业、颜色等识别（二级）、短语识别（三级）、长句识别（四级），一至三级为五张为一组，四级为四张为一组，并配有图片，共57张卡片；</w:t>
            </w:r>
          </w:p>
          <w:p>
            <w:pPr>
              <w:rPr>
                <w:rFonts w:asciiTheme="minorEastAsia" w:hAnsiTheme="minorEastAsia"/>
                <w:szCs w:val="21"/>
              </w:rPr>
            </w:pPr>
            <w:r>
              <w:rPr>
                <w:rFonts w:hint="eastAsia" w:asciiTheme="minorEastAsia" w:hAnsiTheme="minorEastAsia"/>
                <w:szCs w:val="21"/>
              </w:rPr>
              <w:t>（4）看图说话：包含简单动作（一级）、短语（二级）、长句（三级）、情景（四张为一组）（四级），并配有图片，共35张卡片；</w:t>
            </w:r>
          </w:p>
          <w:p>
            <w:pPr>
              <w:rPr>
                <w:rFonts w:asciiTheme="minorEastAsia" w:hAnsiTheme="minorEastAsia"/>
                <w:szCs w:val="21"/>
              </w:rPr>
            </w:pPr>
            <w:r>
              <w:rPr>
                <w:rFonts w:hint="eastAsia" w:asciiTheme="minorEastAsia" w:hAnsiTheme="minorEastAsia"/>
                <w:szCs w:val="21"/>
              </w:rPr>
              <w:t>（5）主题对话： 通过看图提问的形式对儿童进行评估与训练，根据情景及问题复杂程度分为四个等级，共20张卡片。</w:t>
            </w:r>
          </w:p>
          <w:p>
            <w:pPr>
              <w:rPr>
                <w:rFonts w:asciiTheme="minorEastAsia" w:hAnsiTheme="minorEastAsia"/>
                <w:szCs w:val="21"/>
              </w:rPr>
            </w:pPr>
            <w:r>
              <w:rPr>
                <w:rFonts w:hint="eastAsia" w:asciiTheme="minorEastAsia" w:hAnsiTheme="minorEastAsia"/>
                <w:szCs w:val="21"/>
              </w:rPr>
              <w:t>2.语言能力评估与训练手册：</w:t>
            </w:r>
          </w:p>
          <w:p>
            <w:pPr>
              <w:rPr>
                <w:rFonts w:asciiTheme="minorEastAsia" w:hAnsiTheme="minorEastAsia"/>
                <w:szCs w:val="21"/>
              </w:rPr>
            </w:pPr>
            <w:r>
              <w:rPr>
                <w:rFonts w:hint="eastAsia" w:asciiTheme="minorEastAsia" w:hAnsiTheme="minorEastAsia"/>
                <w:szCs w:val="21"/>
              </w:rPr>
              <w:t>详细介绍了语言能力评估与训练套装的理论依据、评估流程及方法、评分标准及训练方案。</w:t>
            </w:r>
          </w:p>
          <w:p>
            <w:pPr>
              <w:rPr>
                <w:rFonts w:ascii="宋体" w:hAnsi="宋体"/>
                <w:color w:val="000000"/>
                <w:szCs w:val="21"/>
              </w:rPr>
            </w:pPr>
            <w:r>
              <w:rPr>
                <w:rFonts w:hint="eastAsia" w:asciiTheme="minorEastAsia" w:hAnsiTheme="minorEastAsia"/>
                <w:szCs w:val="21"/>
              </w:rPr>
              <w:t>3.</w:t>
            </w:r>
            <w:r>
              <w:rPr>
                <w:rFonts w:asciiTheme="minorEastAsia" w:hAnsiTheme="minorEastAsia"/>
                <w:szCs w:val="21"/>
              </w:rPr>
              <w:t>产品整体</w:t>
            </w:r>
            <w:r>
              <w:rPr>
                <w:rFonts w:hint="eastAsia" w:cs="宋体" w:asciiTheme="minorEastAsia" w:hAnsiTheme="minorEastAsia"/>
                <w:szCs w:val="21"/>
              </w:rPr>
              <w:t>尺寸：26*36*9cm。</w:t>
            </w:r>
          </w:p>
        </w:tc>
        <w:tc>
          <w:tcPr>
            <w:tcW w:w="73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widowControl/>
              <w:adjustRightInd w:val="0"/>
              <w:snapToGrid w:val="0"/>
              <w:textAlignment w:val="center"/>
              <w:rPr>
                <w:rFonts w:ascii="宋体" w:hAnsi="宋体" w:cs="宋体"/>
                <w:color w:val="000000"/>
                <w:szCs w:val="21"/>
              </w:rPr>
            </w:pPr>
            <w:r>
              <w:drawing>
                <wp:inline distT="0" distB="0" distL="0" distR="0">
                  <wp:extent cx="1223645" cy="714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1224950" cy="71500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5</w:t>
            </w:r>
          </w:p>
        </w:tc>
        <w:tc>
          <w:tcPr>
            <w:tcW w:w="1127"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言语功能评估训练系统</w:t>
            </w:r>
          </w:p>
        </w:tc>
        <w:tc>
          <w:tcPr>
            <w:tcW w:w="8255" w:type="dxa"/>
            <w:shd w:val="clear" w:color="auto" w:fill="auto"/>
            <w:tcMar>
              <w:top w:w="15" w:type="dxa"/>
              <w:left w:w="15" w:type="dxa"/>
              <w:right w:w="15" w:type="dxa"/>
            </w:tcMar>
            <w:vAlign w:val="center"/>
          </w:tcPr>
          <w:p>
            <w:pPr>
              <w:rPr>
                <w:rFonts w:asciiTheme="minorEastAsia" w:hAnsiTheme="minorEastAsia"/>
                <w:szCs w:val="21"/>
              </w:rPr>
            </w:pPr>
            <w:r>
              <w:rPr>
                <w:rFonts w:hint="eastAsia" w:asciiTheme="minorEastAsia" w:hAnsiTheme="minorEastAsia"/>
                <w:szCs w:val="21"/>
              </w:rPr>
              <w:t>言语功能评估训练系统包括语音评估和语音训练两大核心功能。系统提供的全部评估与训练内容均与卡片一致，可配套搭配使用。</w:t>
            </w:r>
          </w:p>
          <w:p>
            <w:pPr>
              <w:rPr>
                <w:rFonts w:asciiTheme="minorEastAsia" w:hAnsiTheme="minorEastAsia"/>
                <w:szCs w:val="21"/>
              </w:rPr>
            </w:pPr>
            <w:r>
              <w:rPr>
                <w:rFonts w:hint="eastAsia" w:asciiTheme="minorEastAsia" w:hAnsiTheme="minorEastAsia"/>
                <w:szCs w:val="21"/>
              </w:rPr>
              <w:t>语音评估又细分为构音语音能力评估和构音音位对比能力评估。构音语音能力评估中，系统会提供专门用于构音评估的材料卡数十张，包括茶、床、豹、炮、帽、蜂、打、塔、拿、篮、鼓、哭、虎、鸡、旗、吸、纸、尺、狮、日等。构音音位对比能力评估中，系统会提供用于音位对比的评估材料卡数十张，包括车和蛇、埋和白、鹿和兔、鼻和笛、包和高、瓶和亭、走和肘、蚕和蝉等等。为方便使用，系统提供了两种评估模式，手动模式需要老师通过纸笔将评估结果记录在评估表上；自动模式老师通过软件系统直接记录结果并自动生成评估表。系统的每个评估内容都提供了配套图片、真人男女生发音、提示及知识点介绍。评估结束后系统自动生成对应评估报告，可以查看或导出文档。</w:t>
            </w:r>
          </w:p>
          <w:p>
            <w:pPr>
              <w:rPr>
                <w:rFonts w:asciiTheme="minorEastAsia" w:hAnsiTheme="minorEastAsia"/>
                <w:szCs w:val="21"/>
              </w:rPr>
            </w:pPr>
            <w:r>
              <w:rPr>
                <w:rFonts w:hint="eastAsia" w:asciiTheme="minorEastAsia" w:hAnsiTheme="minorEastAsia"/>
                <w:szCs w:val="21"/>
              </w:rPr>
              <w:t>语音训练模块提供了呼吸训练、发声训练、共鸣训练、口部构音运动能力训练四类训练方法。系统为每类训练方法提供了文字引导、图片展示和全过程的动画演示。呼吸训练提供了双肩交替运动、单臂划圈运动、坐位训练、口腹同感等训练方法。发声训练提供了发平调向前运动、发升调左右运动、发降调旋转运动等训练方法。共鸣训练提供了口唇运动、舌部运动、软腭重读训练等训练方法。口部构音运动能力训练提供了噘嘴皱眉头、吹哨管、舌头洗牙等训练方法。教师可借助训练方法指导，对学生引导训练并记录下训练过程和效果。</w:t>
            </w:r>
          </w:p>
          <w:p>
            <w:pPr>
              <w:rPr>
                <w:rFonts w:ascii="宋体" w:hAnsi="宋体"/>
                <w:color w:val="000000"/>
                <w:szCs w:val="21"/>
              </w:rPr>
            </w:pPr>
            <w:r>
              <w:rPr>
                <w:rFonts w:hint="eastAsia" w:asciiTheme="minorEastAsia" w:hAnsiTheme="minorEastAsia"/>
                <w:szCs w:val="21"/>
              </w:rPr>
              <w:t>系统还提供了评估与训练的相关工具可在线查看应用或下载使用，如构音语音能力评估记录词表、构音音位对比能力评估记录词表、操作说明和在线录音机等。</w:t>
            </w:r>
          </w:p>
        </w:tc>
        <w:tc>
          <w:tcPr>
            <w:tcW w:w="73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widowControl/>
              <w:adjustRightInd w:val="0"/>
              <w:snapToGrid w:val="0"/>
              <w:textAlignment w:val="center"/>
              <w:rPr>
                <w:rFonts w:ascii="宋体" w:hAnsi="宋体" w:cs="宋体"/>
                <w:color w:val="000000"/>
                <w:szCs w:val="21"/>
              </w:rPr>
            </w:pPr>
            <w:r>
              <w:drawing>
                <wp:inline distT="0" distB="0" distL="0" distR="0">
                  <wp:extent cx="1184910" cy="6667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29"/>
                          <a:stretch>
                            <a:fillRect/>
                          </a:stretch>
                        </pic:blipFill>
                        <pic:spPr>
                          <a:xfrm>
                            <a:off x="0" y="0"/>
                            <a:ext cx="1186027" cy="6673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c>
          <w:tcPr>
            <w:tcW w:w="1127"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言语功能评估与训练卡片</w:t>
            </w:r>
          </w:p>
        </w:tc>
        <w:tc>
          <w:tcPr>
            <w:tcW w:w="8255" w:type="dxa"/>
            <w:shd w:val="clear" w:color="auto" w:fill="auto"/>
            <w:tcMar>
              <w:top w:w="15" w:type="dxa"/>
              <w:left w:w="15" w:type="dxa"/>
              <w:right w:w="15" w:type="dxa"/>
            </w:tcMar>
            <w:vAlign w:val="center"/>
          </w:tcPr>
          <w:p>
            <w:pPr>
              <w:rPr>
                <w:rFonts w:asciiTheme="minorEastAsia" w:hAnsiTheme="minorEastAsia"/>
                <w:szCs w:val="21"/>
              </w:rPr>
            </w:pPr>
            <w:r>
              <w:rPr>
                <w:rFonts w:hint="eastAsia" w:asciiTheme="minorEastAsia" w:hAnsiTheme="minorEastAsia"/>
                <w:szCs w:val="21"/>
              </w:rPr>
              <w:t>言语能力评估与训练卡片由言语能力评估与训练卡片、言语能力训练工具、言语能力评估与训练手册及配套软件组成。</w:t>
            </w:r>
          </w:p>
          <w:p>
            <w:pPr>
              <w:rPr>
                <w:rFonts w:asciiTheme="minorEastAsia" w:hAnsiTheme="minorEastAsia"/>
                <w:szCs w:val="21"/>
              </w:rPr>
            </w:pPr>
            <w:r>
              <w:rPr>
                <w:rFonts w:hint="eastAsia" w:asciiTheme="minorEastAsia" w:hAnsiTheme="minorEastAsia"/>
                <w:szCs w:val="21"/>
              </w:rPr>
              <w:t>言语能力评估与训练卡片通过构音音位及构音语音两方面对儿童言语能力进行评估，再通过口部构音运动能力、共鸣、发声、呼吸等几方面对儿童言语能力进行训练。</w:t>
            </w:r>
          </w:p>
          <w:p>
            <w:pPr>
              <w:rPr>
                <w:rFonts w:asciiTheme="minorEastAsia" w:hAnsiTheme="minorEastAsia"/>
                <w:szCs w:val="21"/>
              </w:rPr>
            </w:pPr>
            <w:r>
              <w:rPr>
                <w:rFonts w:hint="eastAsia" w:asciiTheme="minorEastAsia" w:hAnsiTheme="minorEastAsia"/>
                <w:szCs w:val="21"/>
              </w:rPr>
              <w:t>1.言语能力评估与训练卡片分为：</w:t>
            </w:r>
          </w:p>
          <w:p>
            <w:pPr>
              <w:rPr>
                <w:rFonts w:asciiTheme="minorEastAsia" w:hAnsiTheme="minorEastAsia"/>
                <w:szCs w:val="21"/>
              </w:rPr>
            </w:pPr>
            <w:r>
              <w:rPr>
                <w:rFonts w:hint="eastAsia" w:asciiTheme="minorEastAsia" w:hAnsiTheme="minorEastAsia"/>
                <w:szCs w:val="21"/>
              </w:rPr>
              <w:t>（1）构音音位对比能力评估卡片：通过对比的方式，对不同发音位置、不同发音方式的声韵母发音进行评估，并配有图片，共45张卡片；</w:t>
            </w:r>
          </w:p>
          <w:p>
            <w:pPr>
              <w:rPr>
                <w:rFonts w:asciiTheme="minorEastAsia" w:hAnsiTheme="minorEastAsia"/>
                <w:szCs w:val="21"/>
              </w:rPr>
            </w:pPr>
            <w:r>
              <w:rPr>
                <w:rFonts w:hint="eastAsia" w:asciiTheme="minorEastAsia" w:hAnsiTheme="minorEastAsia"/>
                <w:szCs w:val="21"/>
              </w:rPr>
              <w:t>（2）构音语音能力评估卡片：通过提问的方式，对声韵母发音进行评估，并配有图片，共50张卡片；</w:t>
            </w:r>
          </w:p>
          <w:p>
            <w:pPr>
              <w:rPr>
                <w:rFonts w:asciiTheme="minorEastAsia" w:hAnsiTheme="minorEastAsia"/>
                <w:szCs w:val="21"/>
              </w:rPr>
            </w:pPr>
            <w:r>
              <w:rPr>
                <w:rFonts w:hint="eastAsia" w:asciiTheme="minorEastAsia" w:hAnsiTheme="minorEastAsia"/>
                <w:szCs w:val="21"/>
              </w:rPr>
              <w:t>（3）口部构音运动能力训练卡片：配合言语能力训练工具，对口腔、面部肌肉、舌头等进行构音动作训练，并配有图片，共34张卡片；</w:t>
            </w:r>
          </w:p>
          <w:p>
            <w:pPr>
              <w:rPr>
                <w:rFonts w:asciiTheme="minorEastAsia" w:hAnsiTheme="minorEastAsia"/>
                <w:szCs w:val="21"/>
              </w:rPr>
            </w:pPr>
            <w:r>
              <w:rPr>
                <w:rFonts w:hint="eastAsia" w:asciiTheme="minorEastAsia" w:hAnsiTheme="minorEastAsia"/>
                <w:szCs w:val="21"/>
              </w:rPr>
              <w:t>（4）共鸣训练卡片：对口腔及鼻腔进行共鸣放松训练，并配有图片，共7张卡片；</w:t>
            </w:r>
          </w:p>
          <w:p>
            <w:pPr>
              <w:rPr>
                <w:rFonts w:asciiTheme="minorEastAsia" w:hAnsiTheme="minorEastAsia"/>
                <w:szCs w:val="21"/>
              </w:rPr>
            </w:pPr>
            <w:r>
              <w:rPr>
                <w:rFonts w:hint="eastAsia" w:asciiTheme="minorEastAsia" w:hAnsiTheme="minorEastAsia"/>
                <w:szCs w:val="21"/>
              </w:rPr>
              <w:t>（5）发声训练卡片：对颈部及声带进行发声放松训练，并配有图片，共10张卡片；</w:t>
            </w:r>
          </w:p>
          <w:p>
            <w:pPr>
              <w:rPr>
                <w:rFonts w:asciiTheme="minorEastAsia" w:hAnsiTheme="minorEastAsia"/>
                <w:szCs w:val="21"/>
              </w:rPr>
            </w:pPr>
            <w:r>
              <w:rPr>
                <w:rFonts w:hint="eastAsia" w:asciiTheme="minorEastAsia" w:hAnsiTheme="minorEastAsia"/>
                <w:szCs w:val="21"/>
              </w:rPr>
              <w:t>（6）呼吸训练卡片：进行呼吸训练使用，并配有图片，共23张卡片；</w:t>
            </w:r>
          </w:p>
          <w:p>
            <w:pPr>
              <w:rPr>
                <w:rFonts w:asciiTheme="minorEastAsia" w:hAnsiTheme="minorEastAsia"/>
                <w:szCs w:val="21"/>
              </w:rPr>
            </w:pPr>
            <w:r>
              <w:rPr>
                <w:rFonts w:hint="eastAsia" w:asciiTheme="minorEastAsia" w:hAnsiTheme="minorEastAsia"/>
                <w:szCs w:val="21"/>
              </w:rPr>
              <w:t>2.言语能力训练工具：</w:t>
            </w:r>
          </w:p>
          <w:p>
            <w:pPr>
              <w:rPr>
                <w:rFonts w:asciiTheme="minorEastAsia" w:hAnsiTheme="minorEastAsia"/>
                <w:szCs w:val="21"/>
              </w:rPr>
            </w:pPr>
            <w:r>
              <w:rPr>
                <w:rFonts w:hint="eastAsia" w:asciiTheme="minorEastAsia" w:hAnsiTheme="minorEastAsia"/>
                <w:szCs w:val="21"/>
              </w:rPr>
              <w:t>配合口部构音运动能力训练卡片，对口部构音进行训练使用。</w:t>
            </w:r>
          </w:p>
          <w:p>
            <w:pPr>
              <w:rPr>
                <w:rFonts w:asciiTheme="minorEastAsia" w:hAnsiTheme="minorEastAsia"/>
                <w:szCs w:val="21"/>
              </w:rPr>
            </w:pPr>
            <w:r>
              <w:rPr>
                <w:rFonts w:hint="eastAsia" w:asciiTheme="minorEastAsia" w:hAnsiTheme="minorEastAsia"/>
                <w:szCs w:val="21"/>
              </w:rPr>
              <w:t>3.言语能力评估与训练手册：</w:t>
            </w:r>
          </w:p>
          <w:p>
            <w:pPr>
              <w:rPr>
                <w:rFonts w:asciiTheme="minorEastAsia" w:hAnsiTheme="minorEastAsia"/>
                <w:szCs w:val="21"/>
              </w:rPr>
            </w:pPr>
            <w:r>
              <w:rPr>
                <w:rFonts w:hint="eastAsia" w:asciiTheme="minorEastAsia" w:hAnsiTheme="minorEastAsia"/>
                <w:szCs w:val="21"/>
              </w:rPr>
              <w:t>详细介绍了言语能力评估与训练套装的理论依据、评估流程及方法、评分标准及训练方案。</w:t>
            </w:r>
          </w:p>
          <w:p>
            <w:pPr>
              <w:rPr>
                <w:rFonts w:ascii="宋体" w:hAnsi="宋体"/>
                <w:color w:val="000000"/>
                <w:szCs w:val="21"/>
              </w:rPr>
            </w:pPr>
            <w:r>
              <w:rPr>
                <w:rFonts w:hint="eastAsia" w:asciiTheme="minorEastAsia" w:hAnsiTheme="minorEastAsia"/>
                <w:szCs w:val="21"/>
              </w:rPr>
              <w:t>3.</w:t>
            </w:r>
            <w:r>
              <w:rPr>
                <w:rFonts w:asciiTheme="minorEastAsia" w:hAnsiTheme="minorEastAsia"/>
                <w:szCs w:val="21"/>
              </w:rPr>
              <w:t>产品整体</w:t>
            </w:r>
            <w:r>
              <w:rPr>
                <w:rFonts w:hint="eastAsia" w:cs="宋体" w:asciiTheme="minorEastAsia" w:hAnsiTheme="minorEastAsia"/>
                <w:szCs w:val="21"/>
              </w:rPr>
              <w:t>尺寸：26*36*9cm。</w:t>
            </w:r>
          </w:p>
        </w:tc>
        <w:tc>
          <w:tcPr>
            <w:tcW w:w="73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widowControl/>
              <w:adjustRightInd w:val="0"/>
              <w:snapToGrid w:val="0"/>
              <w:textAlignment w:val="center"/>
              <w:rPr>
                <w:rFonts w:ascii="宋体" w:hAnsi="宋体" w:cs="宋体"/>
                <w:color w:val="000000"/>
                <w:szCs w:val="21"/>
              </w:rPr>
            </w:pPr>
            <w:r>
              <w:drawing>
                <wp:inline distT="0" distB="0" distL="0" distR="0">
                  <wp:extent cx="1206500" cy="7048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a:stretch>
                            <a:fillRect/>
                          </a:stretch>
                        </pic:blipFill>
                        <pic:spPr>
                          <a:xfrm>
                            <a:off x="0" y="0"/>
                            <a:ext cx="1207711" cy="70546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7</w:t>
            </w:r>
          </w:p>
        </w:tc>
        <w:tc>
          <w:tcPr>
            <w:tcW w:w="1127"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言语发育迟缓训练卡</w:t>
            </w:r>
          </w:p>
        </w:tc>
        <w:tc>
          <w:tcPr>
            <w:tcW w:w="8255" w:type="dxa"/>
            <w:shd w:val="clear" w:color="auto" w:fill="auto"/>
            <w:tcMar>
              <w:top w:w="15" w:type="dxa"/>
              <w:left w:w="15" w:type="dxa"/>
              <w:right w:w="15" w:type="dxa"/>
            </w:tcMar>
            <w:vAlign w:val="center"/>
          </w:tcPr>
          <w:p>
            <w:pPr>
              <w:jc w:val="both"/>
              <w:rPr>
                <w:rFonts w:ascii="宋体" w:hAnsi="宋体"/>
                <w:color w:val="000000"/>
                <w:szCs w:val="21"/>
              </w:rPr>
            </w:pPr>
            <w:r>
              <w:rPr>
                <w:rFonts w:hint="eastAsia" w:cs="Calibri" w:asciiTheme="minorEastAsia" w:hAnsiTheme="minorEastAsia"/>
                <w:color w:val="000000"/>
                <w:kern w:val="0"/>
                <w:szCs w:val="21"/>
              </w:rPr>
              <w:t>言语发育迟缓训练卡针对特殊儿童可能存在言语发育迟缓问题，提供了相应的针对性训练内容。训练卡覆盖概念训练、逻辑关系、句式、社会认知、次序认知五大训练维度，卡片数量合计超过</w:t>
            </w:r>
            <w:r>
              <w:rPr>
                <w:rFonts w:cs="Calibri" w:asciiTheme="minorEastAsia" w:hAnsiTheme="minorEastAsia"/>
                <w:color w:val="000000"/>
                <w:kern w:val="0"/>
                <w:szCs w:val="21"/>
              </w:rPr>
              <w:t xml:space="preserve">560 </w:t>
            </w:r>
            <w:r>
              <w:rPr>
                <w:rFonts w:hint="eastAsia" w:cs="Calibri" w:asciiTheme="minorEastAsia" w:hAnsiTheme="minorEastAsia"/>
                <w:color w:val="000000"/>
                <w:kern w:val="0"/>
                <w:szCs w:val="21"/>
              </w:rPr>
              <w:t>张。</w:t>
            </w:r>
            <w:r>
              <w:rPr>
                <w:rFonts w:hint="eastAsia" w:cs="Calibri" w:asciiTheme="minorEastAsia" w:hAnsiTheme="minorEastAsia"/>
                <w:color w:val="000000"/>
                <w:kern w:val="0"/>
                <w:szCs w:val="21"/>
              </w:rPr>
              <w:br w:type="textWrapping"/>
            </w:r>
            <w:r>
              <w:rPr>
                <w:rFonts w:cs="Calibri" w:asciiTheme="minorEastAsia" w:hAnsiTheme="minorEastAsia"/>
                <w:color w:val="000000"/>
                <w:kern w:val="0"/>
                <w:szCs w:val="21"/>
              </w:rPr>
              <w:t>1.</w:t>
            </w:r>
            <w:r>
              <w:rPr>
                <w:rFonts w:hint="eastAsia" w:cs="Calibri" w:asciiTheme="minorEastAsia" w:hAnsiTheme="minorEastAsia"/>
                <w:color w:val="000000"/>
                <w:kern w:val="0"/>
                <w:szCs w:val="21"/>
              </w:rPr>
              <w:t>概念训练：概念训练包括空间概念、上位联想、时间概念、数量、同位联想、下位联想等子维度训练卡片，合计数量超过</w:t>
            </w:r>
            <w:r>
              <w:rPr>
                <w:rFonts w:cs="Calibri" w:asciiTheme="minorEastAsia" w:hAnsiTheme="minorEastAsia"/>
                <w:color w:val="000000"/>
                <w:kern w:val="0"/>
                <w:szCs w:val="21"/>
              </w:rPr>
              <w:t>240</w:t>
            </w:r>
            <w:r>
              <w:rPr>
                <w:rFonts w:hint="eastAsia" w:cs="Calibri" w:asciiTheme="minorEastAsia" w:hAnsiTheme="minorEastAsia"/>
                <w:color w:val="000000"/>
                <w:kern w:val="0"/>
                <w:szCs w:val="21"/>
              </w:rPr>
              <w:t>张。</w:t>
            </w:r>
            <w:r>
              <w:rPr>
                <w:rFonts w:hint="eastAsia" w:cs="Calibri" w:asciiTheme="minorEastAsia" w:hAnsiTheme="minorEastAsia"/>
                <w:color w:val="000000"/>
                <w:kern w:val="0"/>
                <w:szCs w:val="21"/>
              </w:rPr>
              <w:br w:type="textWrapping"/>
            </w:r>
            <w:r>
              <w:rPr>
                <w:rFonts w:cs="Calibri" w:asciiTheme="minorEastAsia" w:hAnsiTheme="minorEastAsia"/>
                <w:color w:val="000000"/>
                <w:kern w:val="0"/>
                <w:szCs w:val="21"/>
              </w:rPr>
              <w:t>2.</w:t>
            </w:r>
            <w:r>
              <w:rPr>
                <w:rFonts w:hint="eastAsia" w:cs="Calibri" w:asciiTheme="minorEastAsia" w:hAnsiTheme="minorEastAsia"/>
                <w:color w:val="000000"/>
                <w:kern w:val="0"/>
                <w:szCs w:val="21"/>
              </w:rPr>
              <w:t>逻辑关系：逻辑关系包括和、或、如果</w:t>
            </w:r>
            <w:r>
              <w:rPr>
                <w:rFonts w:cs="Calibri" w:asciiTheme="minorEastAsia" w:hAnsiTheme="minorEastAsia"/>
                <w:color w:val="000000"/>
                <w:kern w:val="0"/>
                <w:szCs w:val="21"/>
              </w:rPr>
              <w:t>……</w:t>
            </w:r>
            <w:r>
              <w:rPr>
                <w:rFonts w:hint="eastAsia" w:cs="Calibri" w:asciiTheme="minorEastAsia" w:hAnsiTheme="minorEastAsia"/>
                <w:color w:val="000000"/>
                <w:kern w:val="0"/>
                <w:szCs w:val="21"/>
              </w:rPr>
              <w:t>就、首先</w:t>
            </w:r>
            <w:r>
              <w:rPr>
                <w:rFonts w:cs="Calibri" w:asciiTheme="minorEastAsia" w:hAnsiTheme="minorEastAsia"/>
                <w:color w:val="000000"/>
                <w:kern w:val="0"/>
                <w:szCs w:val="21"/>
              </w:rPr>
              <w:t>……</w:t>
            </w:r>
            <w:r>
              <w:rPr>
                <w:rFonts w:hint="eastAsia" w:cs="Calibri" w:asciiTheme="minorEastAsia" w:hAnsiTheme="minorEastAsia"/>
                <w:color w:val="000000"/>
                <w:kern w:val="0"/>
                <w:szCs w:val="21"/>
              </w:rPr>
              <w:t>然后、虽然</w:t>
            </w:r>
            <w:r>
              <w:rPr>
                <w:rFonts w:cs="Calibri" w:asciiTheme="minorEastAsia" w:hAnsiTheme="minorEastAsia"/>
                <w:color w:val="000000"/>
                <w:kern w:val="0"/>
                <w:szCs w:val="21"/>
              </w:rPr>
              <w:t>……</w:t>
            </w:r>
            <w:r>
              <w:rPr>
                <w:rFonts w:hint="eastAsia" w:cs="Calibri" w:asciiTheme="minorEastAsia" w:hAnsiTheme="minorEastAsia"/>
                <w:color w:val="000000"/>
                <w:kern w:val="0"/>
                <w:szCs w:val="21"/>
              </w:rPr>
              <w:t>但是、因为</w:t>
            </w:r>
            <w:r>
              <w:rPr>
                <w:rFonts w:cs="Calibri" w:asciiTheme="minorEastAsia" w:hAnsiTheme="minorEastAsia"/>
                <w:color w:val="000000"/>
                <w:kern w:val="0"/>
                <w:szCs w:val="21"/>
              </w:rPr>
              <w:t>……</w:t>
            </w:r>
            <w:r>
              <w:rPr>
                <w:rFonts w:hint="eastAsia" w:cs="Calibri" w:asciiTheme="minorEastAsia" w:hAnsiTheme="minorEastAsia"/>
                <w:color w:val="000000"/>
                <w:kern w:val="0"/>
                <w:szCs w:val="21"/>
              </w:rPr>
              <w:t>所以等子维度训练卡片，合计数量超过</w:t>
            </w:r>
            <w:r>
              <w:rPr>
                <w:rFonts w:cs="Calibri" w:asciiTheme="minorEastAsia" w:hAnsiTheme="minorEastAsia"/>
                <w:color w:val="000000"/>
                <w:kern w:val="0"/>
                <w:szCs w:val="21"/>
              </w:rPr>
              <w:t>20</w:t>
            </w:r>
            <w:r>
              <w:rPr>
                <w:rFonts w:hint="eastAsia" w:cs="Calibri" w:asciiTheme="minorEastAsia" w:hAnsiTheme="minorEastAsia"/>
                <w:color w:val="000000"/>
                <w:kern w:val="0"/>
                <w:szCs w:val="21"/>
              </w:rPr>
              <w:t>张。</w:t>
            </w:r>
            <w:r>
              <w:rPr>
                <w:rFonts w:hint="eastAsia" w:cs="Calibri" w:asciiTheme="minorEastAsia" w:hAnsiTheme="minorEastAsia"/>
                <w:color w:val="000000"/>
                <w:kern w:val="0"/>
                <w:szCs w:val="21"/>
              </w:rPr>
              <w:br w:type="textWrapping"/>
            </w:r>
            <w:r>
              <w:rPr>
                <w:rFonts w:cs="Calibri" w:asciiTheme="minorEastAsia" w:hAnsiTheme="minorEastAsia"/>
                <w:color w:val="000000"/>
                <w:kern w:val="0"/>
                <w:szCs w:val="21"/>
              </w:rPr>
              <w:t>3.</w:t>
            </w:r>
            <w:r>
              <w:rPr>
                <w:rFonts w:hint="eastAsia" w:cs="Calibri" w:asciiTheme="minorEastAsia" w:hAnsiTheme="minorEastAsia"/>
                <w:color w:val="000000"/>
                <w:kern w:val="0"/>
                <w:szCs w:val="21"/>
              </w:rPr>
              <w:t>句式：句式包括意向、指向、形容、词组短句等子维度训练卡片，合计数量超过</w:t>
            </w:r>
            <w:r>
              <w:rPr>
                <w:rFonts w:cs="Calibri" w:asciiTheme="minorEastAsia" w:hAnsiTheme="minorEastAsia"/>
                <w:color w:val="000000"/>
                <w:kern w:val="0"/>
                <w:szCs w:val="21"/>
              </w:rPr>
              <w:t>90</w:t>
            </w:r>
            <w:r>
              <w:rPr>
                <w:rFonts w:hint="eastAsia" w:cs="Calibri" w:asciiTheme="minorEastAsia" w:hAnsiTheme="minorEastAsia"/>
                <w:color w:val="000000"/>
                <w:kern w:val="0"/>
                <w:szCs w:val="21"/>
              </w:rPr>
              <w:t>张。</w:t>
            </w:r>
            <w:r>
              <w:rPr>
                <w:rFonts w:hint="eastAsia" w:cs="Calibri" w:asciiTheme="minorEastAsia" w:hAnsiTheme="minorEastAsia"/>
                <w:color w:val="000000"/>
                <w:kern w:val="0"/>
                <w:szCs w:val="21"/>
              </w:rPr>
              <w:br w:type="textWrapping"/>
            </w:r>
            <w:r>
              <w:rPr>
                <w:rFonts w:cs="Calibri" w:asciiTheme="minorEastAsia" w:hAnsiTheme="minorEastAsia"/>
                <w:color w:val="000000"/>
                <w:kern w:val="0"/>
                <w:szCs w:val="21"/>
              </w:rPr>
              <w:t>4.</w:t>
            </w:r>
            <w:r>
              <w:rPr>
                <w:rFonts w:hint="eastAsia" w:cs="Calibri" w:asciiTheme="minorEastAsia" w:hAnsiTheme="minorEastAsia"/>
                <w:color w:val="000000"/>
                <w:kern w:val="0"/>
                <w:szCs w:val="21"/>
              </w:rPr>
              <w:t>社会认知：社会认知包括感受认知、情绪认知、人物关系、生活化等子维度训练卡片，合计数量超过</w:t>
            </w:r>
            <w:r>
              <w:rPr>
                <w:rFonts w:cs="Calibri" w:asciiTheme="minorEastAsia" w:hAnsiTheme="minorEastAsia"/>
                <w:color w:val="000000"/>
                <w:kern w:val="0"/>
                <w:szCs w:val="21"/>
              </w:rPr>
              <w:t>130</w:t>
            </w:r>
            <w:r>
              <w:rPr>
                <w:rFonts w:hint="eastAsia" w:cs="Calibri" w:asciiTheme="minorEastAsia" w:hAnsiTheme="minorEastAsia"/>
                <w:color w:val="000000"/>
                <w:kern w:val="0"/>
                <w:szCs w:val="21"/>
              </w:rPr>
              <w:t>张。</w:t>
            </w:r>
            <w:r>
              <w:rPr>
                <w:rFonts w:hint="eastAsia" w:cs="Calibri" w:asciiTheme="minorEastAsia" w:hAnsiTheme="minorEastAsia"/>
                <w:color w:val="000000"/>
                <w:kern w:val="0"/>
                <w:szCs w:val="21"/>
              </w:rPr>
              <w:br w:type="textWrapping"/>
            </w:r>
            <w:r>
              <w:rPr>
                <w:rFonts w:cs="Calibri" w:asciiTheme="minorEastAsia" w:hAnsiTheme="minorEastAsia"/>
                <w:color w:val="000000"/>
                <w:kern w:val="0"/>
                <w:szCs w:val="21"/>
              </w:rPr>
              <w:t>5.</w:t>
            </w:r>
            <w:r>
              <w:rPr>
                <w:rFonts w:hint="eastAsia" w:cs="Calibri" w:asciiTheme="minorEastAsia" w:hAnsiTheme="minorEastAsia"/>
                <w:color w:val="000000"/>
                <w:kern w:val="0"/>
                <w:szCs w:val="21"/>
              </w:rPr>
              <w:t>次序认知：次序认知包括学校学习、个人卫生、游戏休闲、生活小常识、日常活动等子维度训练卡片，合计数量超过</w:t>
            </w:r>
            <w:r>
              <w:rPr>
                <w:rFonts w:cs="Calibri" w:asciiTheme="minorEastAsia" w:hAnsiTheme="minorEastAsia"/>
                <w:color w:val="000000"/>
                <w:kern w:val="0"/>
                <w:szCs w:val="21"/>
              </w:rPr>
              <w:t>70</w:t>
            </w:r>
            <w:r>
              <w:rPr>
                <w:rFonts w:hint="eastAsia" w:cs="Calibri" w:asciiTheme="minorEastAsia" w:hAnsiTheme="minorEastAsia"/>
                <w:color w:val="000000"/>
                <w:kern w:val="0"/>
                <w:szCs w:val="21"/>
              </w:rPr>
              <w:t>张。</w:t>
            </w:r>
            <w:r>
              <w:rPr>
                <w:rFonts w:hint="eastAsia" w:cs="Calibri" w:asciiTheme="minorEastAsia" w:hAnsiTheme="minorEastAsia"/>
                <w:color w:val="000000"/>
                <w:kern w:val="0"/>
                <w:szCs w:val="21"/>
              </w:rPr>
              <w:br w:type="textWrapping"/>
            </w:r>
            <w:r>
              <w:rPr>
                <w:rFonts w:hint="eastAsia" w:cs="Calibri" w:asciiTheme="minorEastAsia" w:hAnsiTheme="minorEastAsia"/>
                <w:color w:val="000000"/>
                <w:kern w:val="0"/>
                <w:szCs w:val="21"/>
              </w:rPr>
              <w:t>适用范围：卡片设计精美携带方便，适用于</w:t>
            </w:r>
            <w:r>
              <w:rPr>
                <w:rFonts w:cs="Calibri" w:asciiTheme="minorEastAsia" w:hAnsiTheme="minorEastAsia"/>
                <w:color w:val="000000"/>
                <w:kern w:val="0"/>
                <w:szCs w:val="21"/>
              </w:rPr>
              <w:t>3+</w:t>
            </w:r>
            <w:r>
              <w:rPr>
                <w:rFonts w:hint="eastAsia" w:cs="Calibri" w:asciiTheme="minorEastAsia" w:hAnsiTheme="minorEastAsia"/>
                <w:color w:val="000000"/>
                <w:kern w:val="0"/>
                <w:szCs w:val="21"/>
              </w:rPr>
              <w:t>正常儿童认知水平，随时随地都可以对儿童开展训练。卡片也适用于各种原因导致患有言语交流障碍、人际关系障碍、智力发育迟滞、认知理解障碍的儿童，亦可用于成人失语症训练及正常儿童的言语认知训练，习惯、品质培养。</w:t>
            </w:r>
          </w:p>
        </w:tc>
        <w:tc>
          <w:tcPr>
            <w:tcW w:w="73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widowControl/>
              <w:adjustRightInd w:val="0"/>
              <w:snapToGrid w:val="0"/>
              <w:textAlignment w:val="center"/>
              <w:rPr>
                <w:rFonts w:ascii="宋体" w:hAnsi="宋体" w:cs="宋体"/>
                <w:color w:val="000000"/>
                <w:szCs w:val="21"/>
              </w:rPr>
            </w:pPr>
            <w:r>
              <w:rPr>
                <w:rFonts w:cs="宋体" w:asciiTheme="minorEastAsia" w:hAnsiTheme="minorEastAsia"/>
                <w:color w:val="000000"/>
                <w:kern w:val="0"/>
                <w:szCs w:val="21"/>
              </w:rPr>
              <w:drawing>
                <wp:inline distT="0" distB="0" distL="0" distR="0">
                  <wp:extent cx="1219200" cy="1219200"/>
                  <wp:effectExtent l="0" t="0" r="0" b="0"/>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19200" cy="121920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r>
              <w:rPr>
                <w:rFonts w:cs="宋体" w:asciiTheme="minorEastAsia" w:hAnsiTheme="minorEastAsia"/>
                <w:color w:val="000000"/>
                <w:kern w:val="0"/>
                <w:szCs w:val="21"/>
              </w:rPr>
              <w:drawing>
                <wp:inline distT="0" distB="0" distL="0" distR="0">
                  <wp:extent cx="1219200" cy="1219200"/>
                  <wp:effectExtent l="0" t="0" r="0" b="0"/>
                  <wp:docPr id="3" name="图片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19200" cy="1219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14910" w:type="dxa"/>
            <w:gridSpan w:val="9"/>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b/>
                <w:bCs/>
                <w:color w:val="000000"/>
                <w:kern w:val="0"/>
                <w:szCs w:val="21"/>
                <w:lang w:bidi="ar"/>
              </w:rPr>
              <w:t>六、</w:t>
            </w:r>
            <w:r>
              <w:rPr>
                <w:rFonts w:hint="eastAsia" w:asciiTheme="minorEastAsia" w:hAnsiTheme="minorEastAsia"/>
                <w:b/>
                <w:sz w:val="24"/>
                <w:szCs w:val="24"/>
              </w:rPr>
              <w:t>综合运动康复训练区（含感知觉运动、精细动作、粗大动作训练）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127" w:type="dxa"/>
            <w:tcMar>
              <w:top w:w="15" w:type="dxa"/>
              <w:left w:w="15" w:type="dxa"/>
              <w:right w:w="15" w:type="dxa"/>
            </w:tcMar>
            <w:vAlign w:val="center"/>
          </w:tcPr>
          <w:p>
            <w:pPr>
              <w:jc w:val="center"/>
              <w:rPr>
                <w:rFonts w:ascii="宋体" w:hAnsi="宋体" w:eastAsia="宋体" w:cs="宋体"/>
                <w:color w:val="000000"/>
                <w:szCs w:val="21"/>
              </w:rPr>
            </w:pPr>
            <w:r>
              <w:rPr>
                <w:rFonts w:hint="eastAsia"/>
                <w:color w:val="000000"/>
                <w:szCs w:val="21"/>
              </w:rPr>
              <w:t>便携式自闭症语言与沟通康复训练套装</w:t>
            </w:r>
          </w:p>
        </w:tc>
        <w:tc>
          <w:tcPr>
            <w:tcW w:w="8255" w:type="dxa"/>
            <w:tcMar>
              <w:top w:w="15" w:type="dxa"/>
              <w:left w:w="15" w:type="dxa"/>
              <w:right w:w="15" w:type="dxa"/>
            </w:tcMar>
            <w:vAlign w:val="center"/>
          </w:tcPr>
          <w:p>
            <w:pPr>
              <w:rPr>
                <w:rFonts w:hAnsi="宋体"/>
              </w:rPr>
            </w:pPr>
            <w:r>
              <w:rPr>
                <w:rFonts w:asciiTheme="minorEastAsia" w:hAnsiTheme="minorEastAsia"/>
                <w:szCs w:val="21"/>
              </w:rPr>
              <w:t>便携式</w:t>
            </w:r>
            <w:r>
              <w:rPr>
                <w:rFonts w:hint="eastAsia" w:asciiTheme="minorEastAsia" w:hAnsiTheme="minorEastAsia"/>
                <w:szCs w:val="21"/>
              </w:rPr>
              <w:t>自闭症语言与沟通康复训练套装由自闭症语言与沟通康复训练课程和配套训练道具组成，</w:t>
            </w:r>
            <w:r>
              <w:rPr>
                <w:rFonts w:hint="eastAsia" w:hAnsi="宋体"/>
              </w:rPr>
              <w:t>自闭症儿童大多语言器官发育正常但是有相当一部分会在语言上表现出不同程度的发展迟缓，如：语言迟缓、发音不清、词不达意、重复性语言等，语言发展迟缓成为限制自闭症儿童沟通的重要因素，因此对自闭症儿童的语言训练是必不可少的。</w:t>
            </w:r>
            <w:r>
              <w:rPr>
                <w:rFonts w:asciiTheme="minorEastAsia" w:hAnsiTheme="minorEastAsia"/>
                <w:szCs w:val="21"/>
              </w:rPr>
              <w:t>便携式</w:t>
            </w:r>
            <w:r>
              <w:rPr>
                <w:rFonts w:hint="eastAsia" w:asciiTheme="minorEastAsia" w:hAnsiTheme="minorEastAsia"/>
                <w:szCs w:val="21"/>
              </w:rPr>
              <w:t>自闭症语言与</w:t>
            </w:r>
            <w:r>
              <w:rPr>
                <w:rFonts w:hint="eastAsia" w:hAnsi="宋体"/>
              </w:rPr>
              <w:t>沟通康复训练套装旨在根据自闭症儿童的语言发展特点以及他们的认知特点编制的训练课程，帮助老师能够更有效、更有针对性的对自闭症儿童语言的理解、表达、沟通等方面进行训练，运用结构化教学策略，提升儿童的语言理解与表达能力。课程</w:t>
            </w:r>
            <w:r>
              <w:rPr>
                <w:rFonts w:hint="eastAsia" w:hAnsi="宋体" w:cs="Times New Roman"/>
              </w:rPr>
              <w:t>分为</w:t>
            </w:r>
            <w:r>
              <w:rPr>
                <w:rFonts w:ascii="宋体" w:hAnsi="Calibri"/>
              </w:rPr>
              <w:t>10</w:t>
            </w:r>
            <w:r>
              <w:rPr>
                <w:rFonts w:hint="eastAsia" w:ascii="宋体" w:hAnsi="Calibri"/>
              </w:rPr>
              <w:t>个课程主题，每个主题包含相关的活动，每个活动配有相关道具。</w:t>
            </w:r>
          </w:p>
          <w:p>
            <w:pPr>
              <w:rPr>
                <w:rFonts w:asciiTheme="minorEastAsia" w:hAnsiTheme="minorEastAsia"/>
                <w:szCs w:val="21"/>
              </w:rPr>
            </w:pPr>
            <w:r>
              <w:rPr>
                <w:rFonts w:hint="eastAsia" w:asciiTheme="minorEastAsia" w:hAnsiTheme="minorEastAsia"/>
                <w:szCs w:val="21"/>
              </w:rPr>
              <w:t>2.课程内容</w:t>
            </w:r>
          </w:p>
          <w:p>
            <w:pPr>
              <w:rPr>
                <w:rFonts w:asciiTheme="minorEastAsia" w:hAnsiTheme="minorEastAsia"/>
                <w:szCs w:val="21"/>
              </w:rPr>
            </w:pPr>
            <w:r>
              <w:rPr>
                <w:rFonts w:hint="eastAsia" w:asciiTheme="minorEastAsia" w:hAnsiTheme="minorEastAsia"/>
                <w:szCs w:val="21"/>
              </w:rPr>
              <w:t>（1）课程主题</w:t>
            </w:r>
          </w:p>
          <w:p>
            <w:pPr>
              <w:rPr>
                <w:rFonts w:asciiTheme="minorEastAsia" w:hAnsiTheme="minorEastAsia"/>
                <w:szCs w:val="21"/>
              </w:rPr>
            </w:pPr>
            <w:r>
              <w:rPr>
                <w:rFonts w:hint="eastAsia" w:asciiTheme="minorEastAsia" w:hAnsiTheme="minorEastAsia"/>
                <w:szCs w:val="21"/>
              </w:rPr>
              <w:t>课程</w:t>
            </w:r>
            <w:r>
              <w:rPr>
                <w:rFonts w:hint="eastAsia" w:ascii="宋体" w:hAnsi="宋体" w:eastAsia="宋体" w:cs="Times New Roman"/>
              </w:rPr>
              <w:t>分为</w:t>
            </w:r>
            <w:r>
              <w:rPr>
                <w:rFonts w:hint="eastAsia" w:ascii="宋体" w:hAnsi="宋体" w:cs="Times New Roman"/>
              </w:rPr>
              <w:t>名称指令</w:t>
            </w:r>
            <w:r>
              <w:rPr>
                <w:rFonts w:hint="eastAsia" w:ascii="宋体" w:hAnsi="宋体" w:eastAsia="宋体" w:cs="Times New Roman"/>
              </w:rPr>
              <w:t>、</w:t>
            </w:r>
            <w:r>
              <w:rPr>
                <w:rFonts w:hint="eastAsia" w:ascii="宋体" w:hAnsi="宋体" w:cs="Times New Roman"/>
              </w:rPr>
              <w:t>动作指令</w:t>
            </w:r>
            <w:r>
              <w:rPr>
                <w:rFonts w:hint="eastAsia" w:ascii="宋体" w:hAnsi="宋体" w:eastAsia="宋体" w:cs="Times New Roman"/>
              </w:rPr>
              <w:t>、</w:t>
            </w:r>
            <w:r>
              <w:rPr>
                <w:rFonts w:hint="eastAsia" w:ascii="宋体" w:hAnsi="宋体" w:cs="Times New Roman"/>
                <w:lang w:val="zh-CN"/>
              </w:rPr>
              <w:t>理解事物关系</w:t>
            </w:r>
            <w:r>
              <w:rPr>
                <w:rFonts w:hint="eastAsia" w:ascii="宋体" w:hAnsi="宋体" w:eastAsia="宋体" w:cs="Times New Roman"/>
              </w:rPr>
              <w:t>、</w:t>
            </w:r>
            <w:r>
              <w:rPr>
                <w:rFonts w:hint="eastAsia" w:ascii="宋体" w:hAnsi="宋体" w:cs="Times New Roman"/>
                <w:lang w:val="zh-CN"/>
              </w:rPr>
              <w:t>说短语</w:t>
            </w:r>
            <w:r>
              <w:rPr>
                <w:rFonts w:hint="eastAsia" w:ascii="宋体" w:hAnsi="宋体" w:eastAsia="宋体" w:cs="Times New Roman"/>
              </w:rPr>
              <w:t>、</w:t>
            </w:r>
            <w:r>
              <w:rPr>
                <w:rFonts w:hint="eastAsia" w:ascii="宋体" w:hAnsi="宋体" w:cs="Times New Roman"/>
              </w:rPr>
              <w:t>说句子</w:t>
            </w:r>
            <w:r>
              <w:rPr>
                <w:rFonts w:hint="eastAsia" w:ascii="宋体" w:hAnsi="宋体" w:eastAsia="宋体" w:cs="Times New Roman"/>
              </w:rPr>
              <w:t>、</w:t>
            </w:r>
            <w:r>
              <w:rPr>
                <w:rFonts w:hint="eastAsia" w:ascii="宋体" w:hAnsi="宋体" w:cs="Times New Roman"/>
                <w:lang w:val="zh-CN"/>
              </w:rPr>
              <w:t>主动描述</w:t>
            </w:r>
            <w:r>
              <w:rPr>
                <w:rFonts w:hint="eastAsia" w:ascii="宋体" w:hAnsi="宋体" w:eastAsia="宋体" w:cs="Times New Roman"/>
              </w:rPr>
              <w:t>、</w:t>
            </w:r>
            <w:r>
              <w:rPr>
                <w:rFonts w:hint="eastAsia" w:ascii="宋体" w:hAnsi="宋体" w:cs="Times New Roman"/>
              </w:rPr>
              <w:t>社交对话、理解文字、书写文字</w:t>
            </w:r>
            <w:r>
              <w:rPr>
                <w:rFonts w:hint="eastAsia" w:ascii="宋体" w:hAnsi="宋体" w:eastAsia="宋体" w:cs="Times New Roman"/>
              </w:rPr>
              <w:t>等</w:t>
            </w:r>
            <w:r>
              <w:rPr>
                <w:rFonts w:hint="eastAsia" w:ascii="宋体" w:hAnsi="Calibri"/>
              </w:rPr>
              <w:t>共</w:t>
            </w:r>
            <w:r>
              <w:rPr>
                <w:rFonts w:ascii="宋体" w:hAnsi="Calibri"/>
              </w:rPr>
              <w:t>10</w:t>
            </w:r>
            <w:r>
              <w:rPr>
                <w:rFonts w:hint="eastAsia" w:ascii="宋体" w:hAnsi="Calibri"/>
              </w:rPr>
              <w:t>个</w:t>
            </w:r>
            <w:r>
              <w:rPr>
                <w:rFonts w:hint="eastAsia" w:ascii="宋体" w:hAnsi="宋体" w:eastAsia="宋体" w:cs="Times New Roman"/>
              </w:rPr>
              <w:t>课程主题</w:t>
            </w:r>
            <w:r>
              <w:rPr>
                <w:rFonts w:hint="eastAsia" w:ascii="宋体" w:hAnsi="Calibri"/>
              </w:rPr>
              <w:t>。</w:t>
            </w:r>
          </w:p>
          <w:p>
            <w:pPr>
              <w:rPr>
                <w:rFonts w:asciiTheme="minorEastAsia" w:hAnsiTheme="minorEastAsia"/>
                <w:szCs w:val="21"/>
              </w:rPr>
            </w:pPr>
            <w:r>
              <w:rPr>
                <w:rFonts w:hint="eastAsia" w:asciiTheme="minorEastAsia" w:hAnsiTheme="minorEastAsia"/>
                <w:szCs w:val="21"/>
              </w:rPr>
              <w:t>（2）活动名称</w:t>
            </w:r>
          </w:p>
          <w:p>
            <w:pPr>
              <w:rPr>
                <w:rFonts w:asciiTheme="minorEastAsia" w:hAnsiTheme="minorEastAsia"/>
                <w:szCs w:val="21"/>
              </w:rPr>
            </w:pPr>
            <w:r>
              <w:rPr>
                <w:rFonts w:hint="eastAsia" w:ascii="宋体" w:hAnsi="Calibri"/>
              </w:rPr>
              <w:t>课程活动包含</w:t>
            </w:r>
            <w:r>
              <w:rPr>
                <w:rFonts w:hint="eastAsia" w:ascii="宋体" w:hAnsi="宋体" w:cs="Times New Roman"/>
              </w:rPr>
              <w:t>我的名字、音乐宝座、内有乾坤、大小对对碰、手到拿来、排排队、我的校园生活、一起来看看等</w:t>
            </w:r>
            <w:r>
              <w:rPr>
                <w:rFonts w:hint="eastAsia" w:ascii="宋体" w:hAnsi="Calibri"/>
              </w:rPr>
              <w:t>共3</w:t>
            </w:r>
            <w:r>
              <w:rPr>
                <w:rFonts w:ascii="宋体" w:hAnsi="Calibri"/>
              </w:rPr>
              <w:t>0多</w:t>
            </w:r>
            <w:r>
              <w:rPr>
                <w:rFonts w:hint="eastAsia" w:ascii="宋体" w:hAnsi="Calibri"/>
              </w:rPr>
              <w:t>个活动</w:t>
            </w:r>
            <w:r>
              <w:rPr>
                <w:rFonts w:hint="eastAsia" w:ascii="宋体" w:hAnsi="宋体" w:cs="Times New Roman"/>
              </w:rPr>
              <w:t>。</w:t>
            </w:r>
          </w:p>
          <w:p>
            <w:pPr>
              <w:rPr>
                <w:rFonts w:asciiTheme="minorEastAsia" w:hAnsiTheme="minorEastAsia"/>
                <w:szCs w:val="21"/>
              </w:rPr>
            </w:pPr>
            <w:r>
              <w:rPr>
                <w:rFonts w:asciiTheme="minorEastAsia" w:hAnsiTheme="minorEastAsia"/>
                <w:szCs w:val="21"/>
              </w:rPr>
              <w:t>2.</w:t>
            </w:r>
            <w:r>
              <w:rPr>
                <w:rFonts w:hint="eastAsia" w:asciiTheme="minorEastAsia" w:hAnsiTheme="minorEastAsia"/>
                <w:szCs w:val="21"/>
              </w:rPr>
              <w:t>产品组成</w:t>
            </w:r>
          </w:p>
          <w:p>
            <w:pPr>
              <w:rPr>
                <w:rFonts w:ascii="宋体" w:hAnsi="Calibri"/>
              </w:rPr>
            </w:pPr>
            <w:r>
              <w:rPr>
                <w:rFonts w:hint="eastAsia" w:asciiTheme="minorEastAsia" w:hAnsiTheme="minorEastAsia"/>
                <w:szCs w:val="21"/>
              </w:rPr>
              <w:t>（1）课程教材</w:t>
            </w:r>
            <w:r>
              <w:rPr>
                <w:rFonts w:hint="eastAsia" w:ascii="宋体" w:hAnsi="Calibri"/>
              </w:rPr>
              <w:t>1册</w:t>
            </w:r>
          </w:p>
          <w:p>
            <w:pPr>
              <w:rPr>
                <w:rFonts w:ascii="宋体" w:hAnsi="Calibri"/>
              </w:rPr>
            </w:pPr>
            <w:r>
              <w:rPr>
                <w:rFonts w:hint="eastAsia" w:ascii="宋体" w:hAnsi="Calibri"/>
              </w:rPr>
              <w:t>包括各个课程主题的前提条件、儿童特性，以及不同的程度目标下训练活动相应的训练目标、训练前提、训练道具、注意事项、步骤及活动拓展等内容的详细介绍，具有指导性、教育性，内容详细完整，并附有相关图片等。</w:t>
            </w:r>
          </w:p>
          <w:p>
            <w:pPr>
              <w:rPr>
                <w:rFonts w:ascii="宋体" w:hAnsi="Calibri"/>
              </w:rPr>
            </w:pPr>
            <w:r>
              <w:rPr>
                <w:rFonts w:hint="eastAsia" w:ascii="宋体" w:hAnsi="Calibri"/>
              </w:rPr>
              <w:t>（2）课程工具箱1个</w:t>
            </w:r>
          </w:p>
          <w:p>
            <w:pPr>
              <w:rPr>
                <w:rFonts w:cs="宋体" w:asciiTheme="minorEastAsia" w:hAnsiTheme="minorEastAsia"/>
                <w:color w:val="000000"/>
                <w:szCs w:val="21"/>
              </w:rPr>
            </w:pPr>
            <w:r>
              <w:rPr>
                <w:rFonts w:ascii="宋体" w:hAnsi="Calibri"/>
              </w:rPr>
              <w:t>包括</w:t>
            </w:r>
            <w:r>
              <w:rPr>
                <w:rFonts w:hint="eastAsia" w:ascii="宋体" w:hAnsi="Calibri"/>
              </w:rPr>
              <w:t>便于携带的课程工具箱1个，内含数字提示牌、图卡、玩具洗衣机、油画棒、呼啦圈、简笔画册等道具。</w:t>
            </w:r>
          </w:p>
        </w:tc>
        <w:tc>
          <w:tcPr>
            <w:tcW w:w="73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38250" cy="796925"/>
                  <wp:effectExtent l="0" t="0" r="0" b="31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3"/>
                          <a:stretch>
                            <a:fillRect/>
                          </a:stretch>
                        </pic:blipFill>
                        <pic:spPr>
                          <a:xfrm>
                            <a:off x="0" y="0"/>
                            <a:ext cx="1239336" cy="79780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1127" w:type="dxa"/>
            <w:tcMar>
              <w:top w:w="15" w:type="dxa"/>
              <w:left w:w="15" w:type="dxa"/>
              <w:right w:w="15" w:type="dxa"/>
            </w:tcMar>
            <w:vAlign w:val="center"/>
          </w:tcPr>
          <w:p>
            <w:pPr>
              <w:jc w:val="center"/>
              <w:rPr>
                <w:rFonts w:ascii="宋体" w:hAnsi="宋体" w:eastAsia="宋体" w:cs="宋体"/>
                <w:color w:val="000000"/>
                <w:szCs w:val="21"/>
              </w:rPr>
            </w:pPr>
            <w:r>
              <w:rPr>
                <w:rFonts w:hint="eastAsia"/>
                <w:color w:val="000000"/>
                <w:szCs w:val="21"/>
              </w:rPr>
              <w:t>便携式自闭症认知与学业康复训练套装</w:t>
            </w:r>
          </w:p>
        </w:tc>
        <w:tc>
          <w:tcPr>
            <w:tcW w:w="8255" w:type="dxa"/>
            <w:tcMar>
              <w:top w:w="15" w:type="dxa"/>
              <w:left w:w="15" w:type="dxa"/>
              <w:right w:w="15" w:type="dxa"/>
            </w:tcMar>
            <w:vAlign w:val="center"/>
          </w:tcPr>
          <w:p>
            <w:pPr>
              <w:rPr>
                <w:rFonts w:hAnsi="宋体"/>
              </w:rPr>
            </w:pPr>
            <w:r>
              <w:rPr>
                <w:rFonts w:asciiTheme="minorEastAsia" w:hAnsiTheme="minorEastAsia"/>
                <w:szCs w:val="21"/>
              </w:rPr>
              <w:t>便携式</w:t>
            </w:r>
            <w:r>
              <w:rPr>
                <w:rFonts w:hint="eastAsia" w:asciiTheme="minorEastAsia" w:hAnsiTheme="minorEastAsia"/>
                <w:szCs w:val="21"/>
              </w:rPr>
              <w:t>自闭症认知与学业康复训练套装由自闭症认知与学业康复训练课程和配套训练道具组成，课程</w:t>
            </w:r>
            <w:r>
              <w:rPr>
                <w:rFonts w:hint="eastAsia" w:hAnsi="宋体"/>
              </w:rPr>
              <w:t>根据自闭症学生的认知特点，从配对、空间、序列、对比、因果、数学、执行功能、问题解决八个方面由浅入深的编排教学内容，</w:t>
            </w:r>
            <w:r>
              <w:rPr>
                <w:rFonts w:hint="eastAsia" w:ascii="Arial" w:hAnsi="Arial" w:cs="Arial"/>
                <w:kern w:val="0"/>
                <w:szCs w:val="21"/>
              </w:rPr>
              <w:t>运用结构化教学策略</w:t>
            </w:r>
            <w:r>
              <w:rPr>
                <w:rFonts w:hint="eastAsia" w:hAnsi="宋体"/>
              </w:rPr>
              <w:t>，帮助特教老师根据学生的能力设计其个性化训练计划，然后进行有针对性训练，逐步提高学生的认知能力，并促进学业水平的提升。课程</w:t>
            </w:r>
            <w:r>
              <w:rPr>
                <w:rFonts w:hint="eastAsia" w:hAnsi="宋体" w:cs="Times New Roman"/>
              </w:rPr>
              <w:t>分为</w:t>
            </w:r>
            <w:r>
              <w:rPr>
                <w:rFonts w:ascii="宋体" w:hAnsi="Calibri"/>
              </w:rPr>
              <w:t>10</w:t>
            </w:r>
            <w:r>
              <w:rPr>
                <w:rFonts w:hint="eastAsia" w:ascii="宋体" w:hAnsi="Calibri"/>
              </w:rPr>
              <w:t>个课程主题，每个主题包含相关的活动，每个活动配有相关道具。</w:t>
            </w:r>
          </w:p>
          <w:p>
            <w:pPr>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.课程内容</w:t>
            </w:r>
          </w:p>
          <w:p>
            <w:pPr>
              <w:rPr>
                <w:rFonts w:asciiTheme="minorEastAsia" w:hAnsiTheme="minorEastAsia"/>
                <w:szCs w:val="21"/>
              </w:rPr>
            </w:pPr>
            <w:r>
              <w:rPr>
                <w:rFonts w:hint="eastAsia" w:asciiTheme="minorEastAsia" w:hAnsiTheme="minorEastAsia"/>
                <w:szCs w:val="21"/>
              </w:rPr>
              <w:t>（1）课程主题</w:t>
            </w:r>
          </w:p>
          <w:p>
            <w:pPr>
              <w:rPr>
                <w:rFonts w:asciiTheme="minorEastAsia" w:hAnsiTheme="minorEastAsia"/>
                <w:szCs w:val="21"/>
              </w:rPr>
            </w:pPr>
            <w:r>
              <w:rPr>
                <w:rFonts w:hint="eastAsia" w:asciiTheme="minorEastAsia" w:hAnsiTheme="minorEastAsia"/>
                <w:szCs w:val="21"/>
              </w:rPr>
              <w:t>课程</w:t>
            </w:r>
            <w:r>
              <w:rPr>
                <w:rFonts w:hint="eastAsia" w:ascii="宋体" w:hAnsi="宋体" w:eastAsia="宋体" w:cs="Times New Roman"/>
              </w:rPr>
              <w:t>分为配对相同、配对关联性、物与物空间关系、规律排列、物体外形、特性对比及度量词、理解行动与结果的关系、学习数数、数字与数量的关系等</w:t>
            </w:r>
            <w:r>
              <w:rPr>
                <w:rFonts w:hint="eastAsia" w:ascii="宋体" w:hAnsi="Calibri"/>
              </w:rPr>
              <w:t>共</w:t>
            </w:r>
            <w:r>
              <w:rPr>
                <w:rFonts w:ascii="宋体" w:hAnsi="Calibri"/>
              </w:rPr>
              <w:t>10</w:t>
            </w:r>
            <w:r>
              <w:rPr>
                <w:rFonts w:hint="eastAsia" w:ascii="宋体" w:hAnsi="Calibri"/>
              </w:rPr>
              <w:t>个</w:t>
            </w:r>
            <w:r>
              <w:rPr>
                <w:rFonts w:hint="eastAsia" w:ascii="宋体" w:hAnsi="宋体" w:eastAsia="宋体" w:cs="Times New Roman"/>
              </w:rPr>
              <w:t>课程主题</w:t>
            </w:r>
            <w:r>
              <w:rPr>
                <w:rFonts w:hint="eastAsia" w:ascii="宋体" w:hAnsi="Calibri"/>
              </w:rPr>
              <w:t>。</w:t>
            </w:r>
          </w:p>
          <w:p>
            <w:pPr>
              <w:rPr>
                <w:rFonts w:asciiTheme="minorEastAsia" w:hAnsiTheme="minorEastAsia"/>
                <w:szCs w:val="21"/>
              </w:rPr>
            </w:pPr>
            <w:r>
              <w:rPr>
                <w:rFonts w:hint="eastAsia" w:asciiTheme="minorEastAsia" w:hAnsiTheme="minorEastAsia"/>
                <w:szCs w:val="21"/>
              </w:rPr>
              <w:t>（2）活动名称</w:t>
            </w:r>
          </w:p>
          <w:p>
            <w:pPr>
              <w:rPr>
                <w:rFonts w:asciiTheme="minorEastAsia" w:hAnsiTheme="minorEastAsia"/>
                <w:szCs w:val="21"/>
              </w:rPr>
            </w:pPr>
            <w:r>
              <w:rPr>
                <w:rFonts w:hint="eastAsia" w:ascii="宋体" w:hAnsi="Calibri"/>
              </w:rPr>
              <w:t>课程活动包含捉小鱼、轰隆轰隆火车开、表情多多、字母找找看、快乐一配一、搬运小宝、开心停车场等共5</w:t>
            </w:r>
            <w:r>
              <w:rPr>
                <w:rFonts w:ascii="宋体" w:hAnsi="Calibri"/>
              </w:rPr>
              <w:t>0多</w:t>
            </w:r>
            <w:r>
              <w:rPr>
                <w:rFonts w:hint="eastAsia" w:ascii="宋体" w:hAnsi="Calibri"/>
              </w:rPr>
              <w:t>个活动</w:t>
            </w:r>
            <w:r>
              <w:rPr>
                <w:rFonts w:hint="eastAsia" w:ascii="宋体" w:hAnsi="宋体" w:cs="Times New Roman"/>
              </w:rPr>
              <w:t>。</w:t>
            </w:r>
          </w:p>
          <w:p>
            <w:pPr>
              <w:rPr>
                <w:rFonts w:asciiTheme="minorEastAsia" w:hAnsiTheme="minorEastAsia"/>
                <w:szCs w:val="21"/>
              </w:rPr>
            </w:pPr>
            <w:r>
              <w:rPr>
                <w:rFonts w:asciiTheme="minorEastAsia" w:hAnsiTheme="minorEastAsia"/>
                <w:szCs w:val="21"/>
              </w:rPr>
              <w:t>2.</w:t>
            </w:r>
            <w:r>
              <w:rPr>
                <w:rFonts w:hint="eastAsia" w:asciiTheme="minorEastAsia" w:hAnsiTheme="minorEastAsia"/>
                <w:szCs w:val="21"/>
              </w:rPr>
              <w:t>产品组成</w:t>
            </w:r>
          </w:p>
          <w:p>
            <w:pPr>
              <w:rPr>
                <w:rFonts w:ascii="宋体" w:hAnsi="Calibri"/>
              </w:rPr>
            </w:pPr>
            <w:r>
              <w:rPr>
                <w:rFonts w:hint="eastAsia" w:asciiTheme="minorEastAsia" w:hAnsiTheme="minorEastAsia"/>
                <w:szCs w:val="21"/>
              </w:rPr>
              <w:t>（1）课程教材</w:t>
            </w:r>
            <w:r>
              <w:rPr>
                <w:rFonts w:hint="eastAsia" w:ascii="宋体" w:hAnsi="Calibri"/>
              </w:rPr>
              <w:t>1册</w:t>
            </w:r>
          </w:p>
          <w:p>
            <w:pPr>
              <w:rPr>
                <w:rFonts w:ascii="宋体" w:hAnsi="Calibri"/>
              </w:rPr>
            </w:pPr>
            <w:r>
              <w:rPr>
                <w:rFonts w:hint="eastAsia" w:ascii="宋体" w:hAnsi="Calibri"/>
              </w:rPr>
              <w:t>包括各个课程主题的前提条件、儿童特性，以及不同的程度目标下训练活动相应的训练目标、训练前提、训练道具、注意事项、步骤及活动拓展等内容的详细介绍，具有指导性、教育性，内容详细完整，并附有相关图片等。</w:t>
            </w:r>
          </w:p>
          <w:p>
            <w:pPr>
              <w:rPr>
                <w:rFonts w:ascii="宋体" w:hAnsi="Calibri"/>
              </w:rPr>
            </w:pPr>
            <w:r>
              <w:rPr>
                <w:rFonts w:hint="eastAsia" w:ascii="宋体" w:hAnsi="Calibri"/>
              </w:rPr>
              <w:t>（2）课程工具箱1个</w:t>
            </w:r>
          </w:p>
          <w:p>
            <w:pPr>
              <w:rPr>
                <w:rFonts w:cs="宋体" w:asciiTheme="minorEastAsia" w:hAnsiTheme="minorEastAsia"/>
                <w:color w:val="000000"/>
                <w:szCs w:val="21"/>
              </w:rPr>
            </w:pPr>
            <w:r>
              <w:rPr>
                <w:rFonts w:ascii="宋体" w:hAnsi="Calibri"/>
              </w:rPr>
              <w:t>包括</w:t>
            </w:r>
            <w:r>
              <w:rPr>
                <w:rFonts w:hint="eastAsia" w:ascii="宋体" w:hAnsi="Calibri"/>
              </w:rPr>
              <w:t>便于携带的课程工具箱1个，内含玩具屋、六面迷宫玩具、俄罗斯积木、拼图、卡片、鸡蛋模型、筹码等道具。</w:t>
            </w:r>
          </w:p>
        </w:tc>
        <w:tc>
          <w:tcPr>
            <w:tcW w:w="73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38250" cy="800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1242061" cy="80227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1127" w:type="dxa"/>
            <w:tcMar>
              <w:top w:w="15" w:type="dxa"/>
              <w:left w:w="15" w:type="dxa"/>
              <w:right w:w="15" w:type="dxa"/>
            </w:tcMar>
            <w:vAlign w:val="center"/>
          </w:tcPr>
          <w:p>
            <w:pPr>
              <w:jc w:val="center"/>
              <w:rPr>
                <w:rFonts w:ascii="宋体" w:hAnsi="宋体" w:eastAsia="宋体" w:cs="宋体"/>
                <w:color w:val="000000"/>
                <w:szCs w:val="21"/>
              </w:rPr>
            </w:pPr>
            <w:r>
              <w:rPr>
                <w:rFonts w:hint="eastAsia"/>
                <w:color w:val="000000"/>
                <w:szCs w:val="21"/>
              </w:rPr>
              <w:t>便携式自闭症社会交往康复训练套装</w:t>
            </w:r>
          </w:p>
        </w:tc>
        <w:tc>
          <w:tcPr>
            <w:tcW w:w="8255" w:type="dxa"/>
            <w:tcMar>
              <w:top w:w="15" w:type="dxa"/>
              <w:left w:w="15" w:type="dxa"/>
              <w:right w:w="15" w:type="dxa"/>
            </w:tcMar>
            <w:vAlign w:val="center"/>
          </w:tcPr>
          <w:p>
            <w:pPr>
              <w:rPr>
                <w:rFonts w:hAnsi="宋体"/>
              </w:rPr>
            </w:pPr>
            <w:r>
              <w:rPr>
                <w:rFonts w:asciiTheme="minorEastAsia" w:hAnsiTheme="minorEastAsia"/>
                <w:szCs w:val="21"/>
              </w:rPr>
              <w:t>便携式</w:t>
            </w:r>
            <w:r>
              <w:rPr>
                <w:rFonts w:hint="eastAsia" w:asciiTheme="minorEastAsia" w:hAnsiTheme="minorEastAsia"/>
                <w:szCs w:val="21"/>
              </w:rPr>
              <w:t>自闭症社会交往康复训练套装由自闭症社会交往康复训练课程和配套训练道具组成。</w:t>
            </w:r>
            <w:r>
              <w:rPr>
                <w:rFonts w:hAnsi="宋体"/>
              </w:rPr>
              <w:t>便携式</w:t>
            </w:r>
            <w:r>
              <w:rPr>
                <w:rFonts w:hint="eastAsia" w:hAnsi="宋体"/>
              </w:rPr>
              <w:t>自闭症社会交往康复训练套装旨在帮助自闭症儿童社会交往能力的训练与发展，帮助自闭症儿童适应社会生活，与他人建立社会关系，运用结构化教学策略，提升儿童的社会交往能力。课程</w:t>
            </w:r>
            <w:r>
              <w:rPr>
                <w:rFonts w:hint="eastAsia" w:hAnsi="宋体" w:cs="Times New Roman"/>
              </w:rPr>
              <w:t>分为</w:t>
            </w:r>
            <w:r>
              <w:rPr>
                <w:rFonts w:ascii="宋体" w:hAnsi="Calibri"/>
              </w:rPr>
              <w:t>13</w:t>
            </w:r>
            <w:r>
              <w:rPr>
                <w:rFonts w:hint="eastAsia" w:ascii="宋体" w:hAnsi="Calibri"/>
              </w:rPr>
              <w:t>个课程主题，每个主题包含相关的活动，每个活动配有相关道具。</w:t>
            </w:r>
          </w:p>
          <w:p>
            <w:pPr>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.课程内容</w:t>
            </w:r>
          </w:p>
          <w:p>
            <w:pPr>
              <w:rPr>
                <w:rFonts w:asciiTheme="minorEastAsia" w:hAnsiTheme="minorEastAsia"/>
                <w:szCs w:val="21"/>
              </w:rPr>
            </w:pPr>
            <w:r>
              <w:rPr>
                <w:rFonts w:hint="eastAsia" w:asciiTheme="minorEastAsia" w:hAnsiTheme="minorEastAsia"/>
                <w:szCs w:val="21"/>
              </w:rPr>
              <w:t>（1）课程主题</w:t>
            </w:r>
          </w:p>
          <w:p>
            <w:pPr>
              <w:rPr>
                <w:rFonts w:asciiTheme="minorEastAsia" w:hAnsiTheme="minorEastAsia"/>
                <w:szCs w:val="21"/>
              </w:rPr>
            </w:pPr>
            <w:r>
              <w:rPr>
                <w:rFonts w:hint="eastAsia" w:asciiTheme="minorEastAsia" w:hAnsiTheme="minorEastAsia"/>
                <w:szCs w:val="21"/>
              </w:rPr>
              <w:t>课程</w:t>
            </w:r>
            <w:r>
              <w:rPr>
                <w:rFonts w:hint="eastAsia" w:ascii="宋体" w:hAnsi="宋体" w:eastAsia="宋体" w:cs="Times New Roman"/>
              </w:rPr>
              <w:t>分为</w:t>
            </w:r>
            <w:r>
              <w:rPr>
                <w:rFonts w:hint="eastAsia" w:ascii="Arial" w:hAnsi="Arial" w:cs="Arial"/>
                <w:kern w:val="0"/>
                <w:szCs w:val="21"/>
              </w:rPr>
              <w:t>情绪识别、处理情绪、眼神接触、身体动作、跟随别人的行为、恰当回忆别人、喜欢与人互动、游戏、自我体验</w:t>
            </w:r>
            <w:r>
              <w:rPr>
                <w:rFonts w:hint="eastAsia" w:ascii="宋体" w:hAnsi="宋体" w:eastAsia="宋体" w:cs="Times New Roman"/>
              </w:rPr>
              <w:t>等</w:t>
            </w:r>
            <w:r>
              <w:rPr>
                <w:rFonts w:hint="eastAsia" w:ascii="宋体" w:hAnsi="Calibri"/>
              </w:rPr>
              <w:t>共</w:t>
            </w:r>
            <w:r>
              <w:rPr>
                <w:rFonts w:ascii="宋体" w:hAnsi="Calibri"/>
              </w:rPr>
              <w:t>13</w:t>
            </w:r>
            <w:r>
              <w:rPr>
                <w:rFonts w:hint="eastAsia" w:ascii="宋体" w:hAnsi="Calibri"/>
              </w:rPr>
              <w:t>个</w:t>
            </w:r>
            <w:r>
              <w:rPr>
                <w:rFonts w:hint="eastAsia" w:ascii="宋体" w:hAnsi="宋体" w:eastAsia="宋体" w:cs="Times New Roman"/>
              </w:rPr>
              <w:t>课程主题</w:t>
            </w:r>
            <w:r>
              <w:rPr>
                <w:rFonts w:hint="eastAsia" w:ascii="宋体" w:hAnsi="Calibri"/>
              </w:rPr>
              <w:t>。</w:t>
            </w:r>
          </w:p>
          <w:p>
            <w:pPr>
              <w:rPr>
                <w:rFonts w:asciiTheme="minorEastAsia" w:hAnsiTheme="minorEastAsia"/>
                <w:szCs w:val="21"/>
              </w:rPr>
            </w:pPr>
            <w:r>
              <w:rPr>
                <w:rFonts w:hint="eastAsia" w:asciiTheme="minorEastAsia" w:hAnsiTheme="minorEastAsia"/>
                <w:szCs w:val="21"/>
              </w:rPr>
              <w:t>（2）活动名称</w:t>
            </w:r>
          </w:p>
          <w:p>
            <w:pPr>
              <w:rPr>
                <w:rFonts w:asciiTheme="minorEastAsia" w:hAnsiTheme="minorEastAsia"/>
                <w:szCs w:val="21"/>
              </w:rPr>
            </w:pPr>
            <w:r>
              <w:rPr>
                <w:rFonts w:hint="eastAsia" w:ascii="宋体" w:hAnsi="Calibri"/>
              </w:rPr>
              <w:t>课程活动包含点五官、认识基本的面部表情</w:t>
            </w:r>
            <w:r>
              <w:rPr>
                <w:rFonts w:ascii="宋体" w:hAnsi="Calibri"/>
              </w:rPr>
              <w:t>、</w:t>
            </w:r>
            <w:r>
              <w:rPr>
                <w:rFonts w:hint="eastAsia" w:ascii="宋体" w:hAnsi="Calibri"/>
              </w:rPr>
              <w:t>表情拼拼拼</w:t>
            </w:r>
            <w:r>
              <w:rPr>
                <w:rFonts w:ascii="宋体" w:hAnsi="Calibri"/>
              </w:rPr>
              <w:t>、</w:t>
            </w:r>
            <w:r>
              <w:rPr>
                <w:rFonts w:hint="eastAsia" w:ascii="宋体" w:hAnsi="Calibri"/>
              </w:rPr>
              <w:t>泡泡达人</w:t>
            </w:r>
            <w:r>
              <w:rPr>
                <w:rFonts w:ascii="宋体" w:hAnsi="Calibri"/>
              </w:rPr>
              <w:t>、</w:t>
            </w:r>
            <w:r>
              <w:rPr>
                <w:rFonts w:hint="eastAsia" w:ascii="宋体" w:hAnsi="Calibri"/>
              </w:rPr>
              <w:t>角色大挑战</w:t>
            </w:r>
            <w:r>
              <w:rPr>
                <w:rFonts w:ascii="宋体" w:hAnsi="Calibri"/>
              </w:rPr>
              <w:t>、</w:t>
            </w:r>
            <w:r>
              <w:rPr>
                <w:rFonts w:hint="eastAsia" w:ascii="宋体" w:hAnsi="Calibri"/>
              </w:rPr>
              <w:t>面具人</w:t>
            </w:r>
            <w:r>
              <w:rPr>
                <w:rFonts w:ascii="宋体" w:hAnsi="Calibri"/>
              </w:rPr>
              <w:t>、</w:t>
            </w:r>
            <w:r>
              <w:rPr>
                <w:rFonts w:hint="eastAsia" w:ascii="宋体" w:hAnsi="Calibri"/>
              </w:rPr>
              <w:t>绵绵情话、搭积木</w:t>
            </w:r>
            <w:r>
              <w:rPr>
                <w:rFonts w:ascii="宋体" w:hAnsi="Calibri"/>
              </w:rPr>
              <w:t>、</w:t>
            </w:r>
            <w:r>
              <w:rPr>
                <w:rFonts w:hint="eastAsia" w:ascii="宋体" w:hAnsi="Calibri"/>
              </w:rPr>
              <w:t>全人拼图</w:t>
            </w:r>
            <w:r>
              <w:rPr>
                <w:rFonts w:ascii="宋体" w:hAnsi="Calibri"/>
              </w:rPr>
              <w:t>、</w:t>
            </w:r>
            <w:r>
              <w:rPr>
                <w:rFonts w:hint="eastAsia" w:ascii="宋体" w:hAnsi="Calibri"/>
              </w:rPr>
              <w:t>神秘动作</w:t>
            </w:r>
            <w:r>
              <w:rPr>
                <w:rFonts w:ascii="宋体" w:hAnsi="Calibri"/>
              </w:rPr>
              <w:t>等</w:t>
            </w:r>
            <w:r>
              <w:rPr>
                <w:rFonts w:hint="eastAsia" w:ascii="宋体" w:hAnsi="Calibri"/>
              </w:rPr>
              <w:t>共5</w:t>
            </w:r>
            <w:r>
              <w:rPr>
                <w:rFonts w:ascii="宋体" w:hAnsi="Calibri"/>
              </w:rPr>
              <w:t>0多</w:t>
            </w:r>
            <w:r>
              <w:rPr>
                <w:rFonts w:hint="eastAsia" w:ascii="宋体" w:hAnsi="Calibri"/>
              </w:rPr>
              <w:t>个活动</w:t>
            </w:r>
            <w:r>
              <w:rPr>
                <w:rFonts w:ascii="宋体" w:hAnsi="Calibri"/>
              </w:rPr>
              <w:t>。</w:t>
            </w:r>
          </w:p>
          <w:p>
            <w:pPr>
              <w:rPr>
                <w:rFonts w:asciiTheme="minorEastAsia" w:hAnsiTheme="minorEastAsia"/>
                <w:szCs w:val="21"/>
              </w:rPr>
            </w:pPr>
            <w:r>
              <w:rPr>
                <w:rFonts w:asciiTheme="minorEastAsia" w:hAnsiTheme="minorEastAsia"/>
                <w:szCs w:val="21"/>
              </w:rPr>
              <w:t>2.</w:t>
            </w:r>
            <w:r>
              <w:rPr>
                <w:rFonts w:hint="eastAsia" w:asciiTheme="minorEastAsia" w:hAnsiTheme="minorEastAsia"/>
                <w:szCs w:val="21"/>
              </w:rPr>
              <w:t>产品组成</w:t>
            </w:r>
          </w:p>
          <w:p>
            <w:pPr>
              <w:rPr>
                <w:rFonts w:ascii="宋体" w:hAnsi="Calibri"/>
              </w:rPr>
            </w:pPr>
            <w:r>
              <w:rPr>
                <w:rFonts w:hint="eastAsia" w:asciiTheme="minorEastAsia" w:hAnsiTheme="minorEastAsia"/>
                <w:szCs w:val="21"/>
              </w:rPr>
              <w:t>（1）课程教材</w:t>
            </w:r>
            <w:r>
              <w:rPr>
                <w:rFonts w:hint="eastAsia" w:ascii="宋体" w:hAnsi="Calibri"/>
              </w:rPr>
              <w:t>1册</w:t>
            </w:r>
          </w:p>
          <w:p>
            <w:pPr>
              <w:rPr>
                <w:rFonts w:ascii="宋体" w:hAnsi="Calibri"/>
              </w:rPr>
            </w:pPr>
            <w:r>
              <w:rPr>
                <w:rFonts w:hint="eastAsia" w:ascii="宋体" w:hAnsi="Calibri"/>
              </w:rPr>
              <w:t>包括各个课程主题的前提条件、儿童特性，以及不同的程度目标下训练活动相应的训练目标、训练前提、训练道具、注意事项、步骤及活动拓展等内容的详细介绍，具有指导性、教育性，内容详细完整，并附有相关图片等。</w:t>
            </w:r>
          </w:p>
          <w:p>
            <w:pPr>
              <w:rPr>
                <w:rFonts w:ascii="宋体" w:hAnsi="Calibri"/>
              </w:rPr>
            </w:pPr>
            <w:r>
              <w:rPr>
                <w:rFonts w:hint="eastAsia" w:ascii="宋体" w:hAnsi="Calibri"/>
              </w:rPr>
              <w:t>（2）课程工具箱1个</w:t>
            </w:r>
          </w:p>
          <w:p>
            <w:pPr>
              <w:rPr>
                <w:rFonts w:cs="宋体" w:asciiTheme="minorEastAsia" w:hAnsiTheme="minorEastAsia"/>
                <w:color w:val="000000"/>
                <w:szCs w:val="21"/>
              </w:rPr>
            </w:pPr>
            <w:r>
              <w:rPr>
                <w:rFonts w:ascii="宋体" w:hAnsi="Calibri"/>
              </w:rPr>
              <w:t>包括</w:t>
            </w:r>
            <w:r>
              <w:rPr>
                <w:rFonts w:hint="eastAsia" w:ascii="宋体" w:hAnsi="Calibri"/>
              </w:rPr>
              <w:t>便于携带的课程工具箱1个，内含表情卡、小镜子</w:t>
            </w:r>
            <w:r>
              <w:rPr>
                <w:rFonts w:ascii="宋体" w:hAnsi="Calibri"/>
              </w:rPr>
              <w:t>、</w:t>
            </w:r>
            <w:r>
              <w:rPr>
                <w:rFonts w:hint="eastAsia" w:ascii="宋体" w:hAnsi="Calibri"/>
              </w:rPr>
              <w:t>泡泡瓶、喷水壶、面具、过家家玩具、组合式玩具蛋糕、积木、拼图、手偶、动物玩具等道具。</w:t>
            </w:r>
          </w:p>
        </w:tc>
        <w:tc>
          <w:tcPr>
            <w:tcW w:w="73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07770" cy="7810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5"/>
                          <a:stretch>
                            <a:fillRect/>
                          </a:stretch>
                        </pic:blipFill>
                        <pic:spPr>
                          <a:xfrm>
                            <a:off x="0" y="0"/>
                            <a:ext cx="1212487" cy="78370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w:t>
            </w:r>
          </w:p>
        </w:tc>
        <w:tc>
          <w:tcPr>
            <w:tcW w:w="1127" w:type="dxa"/>
            <w:tcMar>
              <w:top w:w="15" w:type="dxa"/>
              <w:left w:w="15" w:type="dxa"/>
              <w:right w:w="15" w:type="dxa"/>
            </w:tcMar>
            <w:vAlign w:val="center"/>
          </w:tcPr>
          <w:p>
            <w:pPr>
              <w:jc w:val="center"/>
              <w:rPr>
                <w:rFonts w:ascii="宋体" w:hAnsi="宋体" w:eastAsia="宋体" w:cs="宋体"/>
                <w:color w:val="000000"/>
                <w:szCs w:val="21"/>
              </w:rPr>
            </w:pPr>
            <w:r>
              <w:rPr>
                <w:rFonts w:hint="eastAsia"/>
                <w:color w:val="000000"/>
                <w:szCs w:val="21"/>
              </w:rPr>
              <w:t>便携式自闭症生活自理康复训练套装</w:t>
            </w:r>
          </w:p>
        </w:tc>
        <w:tc>
          <w:tcPr>
            <w:tcW w:w="8255" w:type="dxa"/>
            <w:tcMar>
              <w:top w:w="15" w:type="dxa"/>
              <w:left w:w="15" w:type="dxa"/>
              <w:right w:w="15" w:type="dxa"/>
            </w:tcMar>
            <w:vAlign w:val="center"/>
          </w:tcPr>
          <w:p>
            <w:pPr>
              <w:rPr>
                <w:rFonts w:hAnsi="宋体"/>
              </w:rPr>
            </w:pPr>
            <w:r>
              <w:rPr>
                <w:rFonts w:asciiTheme="minorEastAsia" w:hAnsiTheme="minorEastAsia"/>
                <w:szCs w:val="21"/>
              </w:rPr>
              <w:t>便携式</w:t>
            </w:r>
            <w:r>
              <w:rPr>
                <w:rFonts w:hint="eastAsia" w:asciiTheme="minorEastAsia" w:hAnsiTheme="minorEastAsia"/>
                <w:szCs w:val="21"/>
              </w:rPr>
              <w:t>自闭症生活自理康复训练套装由自闭症生活自理康复训练课程和配套训练道具组成。套装</w:t>
            </w:r>
            <w:r>
              <w:rPr>
                <w:rFonts w:hint="eastAsia" w:hAnsi="宋体"/>
              </w:rPr>
              <w:t>依据自闭症儿童视觉加工优势的特点编写训练教材，采用体验式和活动式教学，注重学生实际生活能力的培养。包含衣、食、住、行等涉及生活的多个方面的内容，</w:t>
            </w:r>
            <w:r>
              <w:rPr>
                <w:rFonts w:hint="eastAsia" w:hAnsi="宋体" w:cs="Times New Roman"/>
              </w:rPr>
              <w:t>分为</w:t>
            </w:r>
            <w:r>
              <w:rPr>
                <w:rFonts w:ascii="宋体" w:hAnsi="Calibri"/>
              </w:rPr>
              <w:t>13</w:t>
            </w:r>
            <w:r>
              <w:rPr>
                <w:rFonts w:hint="eastAsia" w:ascii="宋体" w:hAnsi="Calibri"/>
              </w:rPr>
              <w:t>个课程主题，每个主题包含相关的活动，每个活动配有相关道具。课程</w:t>
            </w:r>
            <w:r>
              <w:rPr>
                <w:rFonts w:hint="eastAsia" w:hAnsi="宋体"/>
              </w:rPr>
              <w:t>运用结构化教学策略，提升儿童的</w:t>
            </w:r>
            <w:r>
              <w:rPr>
                <w:rFonts w:hint="eastAsia" w:asciiTheme="minorEastAsia" w:hAnsiTheme="minorEastAsia"/>
                <w:szCs w:val="21"/>
              </w:rPr>
              <w:t>生活自理</w:t>
            </w:r>
            <w:r>
              <w:rPr>
                <w:rFonts w:hint="eastAsia" w:hAnsi="宋体"/>
              </w:rPr>
              <w:t>能力。</w:t>
            </w:r>
            <w:r>
              <w:rPr>
                <w:rFonts w:hint="eastAsia" w:asciiTheme="minorEastAsia" w:hAnsiTheme="minorEastAsia"/>
                <w:szCs w:val="21"/>
              </w:rPr>
              <w:t>课程</w:t>
            </w:r>
            <w:r>
              <w:rPr>
                <w:rFonts w:hint="eastAsia" w:hAnsi="宋体"/>
              </w:rPr>
              <w:t>可作为普通学校资源教室、培智学校的训练指导教材。</w:t>
            </w:r>
          </w:p>
          <w:p>
            <w:pPr>
              <w:rPr>
                <w:rFonts w:asciiTheme="minorEastAsia" w:hAnsiTheme="minorEastAsia"/>
                <w:szCs w:val="21"/>
              </w:rPr>
            </w:pPr>
            <w:r>
              <w:rPr>
                <w:rFonts w:hAnsi="宋体" w:cs="Times New Roman"/>
              </w:rPr>
              <w:t>1.</w:t>
            </w:r>
            <w:r>
              <w:rPr>
                <w:rFonts w:hint="eastAsia" w:asciiTheme="minorEastAsia" w:hAnsiTheme="minorEastAsia"/>
                <w:szCs w:val="21"/>
              </w:rPr>
              <w:t>课程内容</w:t>
            </w:r>
          </w:p>
          <w:p>
            <w:pPr>
              <w:rPr>
                <w:rFonts w:asciiTheme="minorEastAsia" w:hAnsiTheme="minorEastAsia"/>
                <w:szCs w:val="21"/>
              </w:rPr>
            </w:pPr>
            <w:r>
              <w:rPr>
                <w:rFonts w:hint="eastAsia" w:asciiTheme="minorEastAsia" w:hAnsiTheme="minorEastAsia"/>
                <w:szCs w:val="21"/>
              </w:rPr>
              <w:t>（1）课程主题</w:t>
            </w:r>
          </w:p>
          <w:p>
            <w:pPr>
              <w:rPr>
                <w:rFonts w:asciiTheme="minorEastAsia" w:hAnsiTheme="minorEastAsia"/>
                <w:szCs w:val="21"/>
              </w:rPr>
            </w:pPr>
            <w:r>
              <w:rPr>
                <w:rFonts w:hint="eastAsia" w:asciiTheme="minorEastAsia" w:hAnsiTheme="minorEastAsia"/>
                <w:szCs w:val="21"/>
              </w:rPr>
              <w:t>课程</w:t>
            </w:r>
            <w:r>
              <w:rPr>
                <w:rFonts w:hint="eastAsia" w:ascii="宋体" w:hAnsi="宋体" w:eastAsia="宋体" w:cs="Times New Roman"/>
              </w:rPr>
              <w:t>分为</w:t>
            </w:r>
            <w:r>
              <w:rPr>
                <w:rFonts w:hint="eastAsia" w:ascii="宋体" w:hAnsi="Calibri"/>
              </w:rPr>
              <w:t>进食、如厕、穿脱衣、梳洗、日常家居、出行、外出购物</w:t>
            </w:r>
            <w:r>
              <w:rPr>
                <w:rFonts w:ascii="宋体" w:hAnsi="Calibri"/>
              </w:rPr>
              <w:t>13</w:t>
            </w:r>
            <w:r>
              <w:rPr>
                <w:rFonts w:hint="eastAsia" w:ascii="宋体" w:hAnsi="Calibri"/>
              </w:rPr>
              <w:t>个课程主题进行训练。</w:t>
            </w:r>
          </w:p>
          <w:p>
            <w:pPr>
              <w:rPr>
                <w:rFonts w:asciiTheme="minorEastAsia" w:hAnsiTheme="minorEastAsia"/>
                <w:szCs w:val="21"/>
              </w:rPr>
            </w:pPr>
            <w:r>
              <w:rPr>
                <w:rFonts w:hint="eastAsia" w:asciiTheme="minorEastAsia" w:hAnsiTheme="minorEastAsia"/>
                <w:szCs w:val="21"/>
              </w:rPr>
              <w:t>（2）活动名称</w:t>
            </w:r>
          </w:p>
          <w:p>
            <w:pPr>
              <w:rPr>
                <w:rFonts w:asciiTheme="minorEastAsia" w:hAnsiTheme="minorEastAsia"/>
                <w:szCs w:val="21"/>
              </w:rPr>
            </w:pPr>
            <w:r>
              <w:rPr>
                <w:rFonts w:hint="eastAsia" w:ascii="宋体" w:hAnsi="Calibri"/>
              </w:rPr>
              <w:t>课程活动包含认识并使用碗、自己上厕所、小老鼠钻洞子、洗洗脸、购买商品、车来了</w:t>
            </w:r>
            <w:r>
              <w:rPr>
                <w:rFonts w:ascii="宋体" w:hAnsi="Calibri"/>
              </w:rPr>
              <w:t>等</w:t>
            </w:r>
            <w:r>
              <w:rPr>
                <w:rFonts w:hint="eastAsia" w:ascii="宋体" w:hAnsi="Calibri"/>
              </w:rPr>
              <w:t>共4</w:t>
            </w:r>
            <w:r>
              <w:rPr>
                <w:rFonts w:ascii="宋体" w:hAnsi="Calibri"/>
              </w:rPr>
              <w:t>0多</w:t>
            </w:r>
            <w:r>
              <w:rPr>
                <w:rFonts w:hint="eastAsia" w:ascii="宋体" w:hAnsi="Calibri"/>
              </w:rPr>
              <w:t>个生活自理训练</w:t>
            </w:r>
            <w:r>
              <w:rPr>
                <w:rFonts w:ascii="宋体" w:hAnsi="Calibri"/>
              </w:rPr>
              <w:t>活动。</w:t>
            </w:r>
          </w:p>
          <w:p>
            <w:pPr>
              <w:rPr>
                <w:rFonts w:asciiTheme="minorEastAsia" w:hAnsiTheme="minorEastAsia"/>
                <w:szCs w:val="21"/>
              </w:rPr>
            </w:pPr>
            <w:r>
              <w:rPr>
                <w:rFonts w:asciiTheme="minorEastAsia" w:hAnsiTheme="minorEastAsia"/>
                <w:szCs w:val="21"/>
              </w:rPr>
              <w:t>2.</w:t>
            </w:r>
            <w:r>
              <w:rPr>
                <w:rFonts w:hint="eastAsia" w:asciiTheme="minorEastAsia" w:hAnsiTheme="minorEastAsia"/>
                <w:szCs w:val="21"/>
              </w:rPr>
              <w:t>产品组成</w:t>
            </w:r>
          </w:p>
          <w:p>
            <w:pPr>
              <w:rPr>
                <w:rFonts w:ascii="宋体" w:hAnsi="Calibri"/>
              </w:rPr>
            </w:pPr>
            <w:r>
              <w:rPr>
                <w:rFonts w:hint="eastAsia" w:asciiTheme="minorEastAsia" w:hAnsiTheme="minorEastAsia"/>
                <w:szCs w:val="21"/>
              </w:rPr>
              <w:t>（1）课程教材</w:t>
            </w:r>
            <w:r>
              <w:rPr>
                <w:rFonts w:hint="eastAsia" w:ascii="宋体" w:hAnsi="Calibri"/>
              </w:rPr>
              <w:t>1册</w:t>
            </w:r>
          </w:p>
          <w:p>
            <w:pPr>
              <w:rPr>
                <w:rFonts w:ascii="宋体" w:hAnsi="Calibri"/>
              </w:rPr>
            </w:pPr>
            <w:r>
              <w:rPr>
                <w:rFonts w:hint="eastAsia" w:ascii="宋体" w:hAnsi="Calibri"/>
              </w:rPr>
              <w:t>包括各个课程主题的前提条件、儿童特性，以及不同的程度目标下训练活动相应的训练目标、训练前提、训练道具、注意事项、步骤及活动拓展等内容的详细介绍，具有指导性、教育性，内容详细完整，并附有相关图片等。</w:t>
            </w:r>
          </w:p>
          <w:p>
            <w:pPr>
              <w:rPr>
                <w:rFonts w:ascii="宋体" w:hAnsi="Calibri"/>
              </w:rPr>
            </w:pPr>
            <w:r>
              <w:rPr>
                <w:rFonts w:hint="eastAsia" w:ascii="宋体" w:hAnsi="Calibri"/>
              </w:rPr>
              <w:t>（2）课程工具箱1个</w:t>
            </w:r>
          </w:p>
          <w:p>
            <w:pPr>
              <w:rPr>
                <w:rFonts w:cs="宋体" w:asciiTheme="minorEastAsia" w:hAnsiTheme="minorEastAsia"/>
                <w:color w:val="000000"/>
                <w:szCs w:val="21"/>
              </w:rPr>
            </w:pPr>
            <w:r>
              <w:rPr>
                <w:rFonts w:ascii="宋体" w:hAnsi="Calibri"/>
              </w:rPr>
              <w:t>包括</w:t>
            </w:r>
            <w:r>
              <w:rPr>
                <w:rFonts w:hint="eastAsia" w:ascii="宋体" w:hAnsi="Calibri"/>
              </w:rPr>
              <w:t>便于携带的课程工具箱1个，内含叉子、餐盘</w:t>
            </w:r>
            <w:r>
              <w:rPr>
                <w:rFonts w:ascii="宋体" w:hAnsi="Calibri"/>
              </w:rPr>
              <w:t>、</w:t>
            </w:r>
            <w:r>
              <w:rPr>
                <w:rFonts w:hint="eastAsia" w:ascii="宋体" w:hAnsi="Calibri"/>
              </w:rPr>
              <w:t>图卡、如厕流程卡、交通工具模型玩具、小贴纸、指示牌等道具。</w:t>
            </w:r>
          </w:p>
        </w:tc>
        <w:tc>
          <w:tcPr>
            <w:tcW w:w="73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198880" cy="771525"/>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1200384" cy="77220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5</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手指精细度训练组合套装</w:t>
            </w:r>
          </w:p>
        </w:tc>
        <w:tc>
          <w:tcPr>
            <w:tcW w:w="8255" w:type="dxa"/>
            <w:tcMar>
              <w:top w:w="15" w:type="dxa"/>
              <w:left w:w="15" w:type="dxa"/>
              <w:right w:w="15" w:type="dxa"/>
            </w:tcMar>
            <w:vAlign w:val="center"/>
          </w:tcPr>
          <w:p>
            <w:pPr>
              <w:widowControl/>
              <w:rPr>
                <w:rFonts w:ascii="宋体" w:hAnsi="宋体" w:cs="宋体"/>
                <w:color w:val="000000"/>
                <w:kern w:val="0"/>
                <w:szCs w:val="21"/>
              </w:rPr>
            </w:pPr>
            <w:r>
              <w:rPr>
                <w:rFonts w:hint="eastAsia" w:ascii="宋体" w:hAnsi="宋体" w:cs="宋体"/>
                <w:color w:val="000000"/>
                <w:kern w:val="0"/>
                <w:szCs w:val="21"/>
              </w:rPr>
              <w:t>手指精细度训练组合套装操作平台材质：松木；操作平台规格：70cm*49cm*76cm，桌上背板高度40cm；操作桌面：70cm*49cm，附带存储抽屉2个，抽屉规格：32cm*15cm；颜色:自然木纹色。</w:t>
            </w:r>
          </w:p>
          <w:p>
            <w:pPr>
              <w:widowControl/>
              <w:rPr>
                <w:rFonts w:ascii="宋体" w:hAnsi="宋体" w:cs="宋体"/>
                <w:color w:val="000000"/>
                <w:kern w:val="0"/>
                <w:szCs w:val="21"/>
              </w:rPr>
            </w:pPr>
            <w:r>
              <w:rPr>
                <w:rFonts w:hint="eastAsia" w:ascii="宋体" w:hAnsi="宋体" w:cs="宋体"/>
                <w:color w:val="000000"/>
                <w:kern w:val="0"/>
                <w:szCs w:val="21"/>
              </w:rPr>
              <w:t>将穿绳游戏、磁力拼图、磁力构建、夹珠游戏、分指板等多款游戏有机组合在一起，形成训练体系，逐步训练学生手指的灵活能力，含操作台和设备使用指导。1.穿绳游戏：包括18张带孔卡片和24根绳子。其中12张是带印刷的演示卡片，由易到难让孩子逐渐入手。另外6张是无印刷的卡片可让孩子自由发挥自己想象力用绳子穿出各种图案。其用于培养孩子手的稳定性和灵活性、耐力及专注力，眼手协调能力以及颜色和形状的感知能力，并激发儿童的潜在创造能力。2.磁力拼图：包括磁性七巧板和若干不同形状和颜色的磁力拼片。此结合了许多艺术和数学元素来提高孩子的视觉和知觉能力以及颜色和形状的感知能力。同时培养孩子手的稳定性和灵活性，并激发儿童的潜在创造能力。3.磁力构建：由磁力棒和钢珠两大部分组成，在磁力的作用下，互相吸引，任意链接，随意组合、创造出各式各样的奇异优美的造形。孩子可以通过磁力棒和磁力球自由发挥自己的想象力来组合出不同结构的模型和结构。比如金字塔，艾菲尔铁塔都可以巧妙搭建出来，真正带给孩子一个发挥想象的空间。可以培养手眼协调、空间思维能力，对逻辑关系、三维立体结构的认识。同时对肢体麻木、儿童多动症、做事无序无规则、空间智能和空间意识差都有不同程度的改观作用！4.夹珠子游戏：包括若干玻璃球、钢珠球和夹球工具一套。孩子用夹球工具来夹球，其用于培养孩子手的稳定性和灵活性，以及手的平衡能力。5.分指板：在一块规格为（22.5cm*30cm*0.8cm)的木板上镶嵌着左手和右手的五指立体分布造型。造型上分别有数字来标示10个手指，用英文来标示左手和右手，且10个手指和2个手掌可以自由取放。分指板用于训练孩子手指分开和伸展、保持手指于正确位置，防止和矫正手指屈肌痉挛或挛缩畸形。</w:t>
            </w:r>
          </w:p>
          <w:p>
            <w:pPr>
              <w:widowControl/>
              <w:rPr>
                <w:rFonts w:ascii="宋体" w:hAnsi="宋体" w:cs="宋体"/>
                <w:color w:val="000000"/>
                <w:kern w:val="0"/>
                <w:szCs w:val="21"/>
              </w:rPr>
            </w:pPr>
            <w:r>
              <w:rPr>
                <w:rFonts w:hint="eastAsia" w:ascii="宋体" w:hAnsi="宋体" w:cs="宋体"/>
                <w:color w:val="000000"/>
                <w:kern w:val="0"/>
                <w:szCs w:val="21"/>
              </w:rPr>
              <w:t>#操作台具有家具全项检测报告（甲醛释放量＜0.05mg/L）</w:t>
            </w:r>
          </w:p>
          <w:p>
            <w:pPr>
              <w:widowControl/>
              <w:jc w:val="distribute"/>
              <w:rPr>
                <w:rFonts w:hint="eastAsia" w:ascii="宋体" w:hAnsi="宋体" w:cs="宋体"/>
                <w:color w:val="000000"/>
                <w:kern w:val="0"/>
                <w:szCs w:val="21"/>
              </w:rPr>
            </w:pPr>
            <w:r>
              <w:rPr>
                <w:rFonts w:hint="eastAsia" w:ascii="宋体" w:hAnsi="宋体" w:cs="宋体"/>
                <w:color w:val="000000"/>
                <w:kern w:val="0"/>
                <w:szCs w:val="21"/>
              </w:rPr>
              <w:t>创造力训练组合套装操作平台材质：松木；操作平台规格：70cm*49cm*76cm，桌上背板高度</w:t>
            </w:r>
            <w:r>
              <w:rPr>
                <w:rFonts w:hint="eastAsia" w:ascii="宋体" w:hAnsi="宋体" w:cs="宋体"/>
                <w:color w:val="000000"/>
                <w:kern w:val="0"/>
                <w:szCs w:val="21"/>
                <w:lang w:val="en-US" w:eastAsia="zh-CN"/>
              </w:rPr>
              <w:t>40</w:t>
            </w:r>
            <w:r>
              <w:rPr>
                <w:rFonts w:hint="eastAsia" w:ascii="宋体" w:hAnsi="宋体" w:cs="宋体"/>
                <w:color w:val="000000"/>
                <w:kern w:val="0"/>
                <w:szCs w:val="21"/>
              </w:rPr>
              <w:t>cm；操作桌面：70cm*49cm，附带存储抽屉2个，抽屉规格：32cm*15cm；颜色:自然</w:t>
            </w:r>
          </w:p>
          <w:p>
            <w:pPr>
              <w:widowControl/>
              <w:rPr>
                <w:rFonts w:ascii="宋体" w:hAnsi="宋体" w:cs="宋体"/>
                <w:color w:val="000000"/>
                <w:kern w:val="0"/>
                <w:szCs w:val="21"/>
              </w:rPr>
            </w:pPr>
            <w:r>
              <w:rPr>
                <w:rFonts w:hint="eastAsia" w:ascii="宋体" w:hAnsi="宋体" w:cs="宋体"/>
                <w:color w:val="000000"/>
                <w:kern w:val="0"/>
                <w:szCs w:val="21"/>
              </w:rPr>
              <w:t>木纹色。</w:t>
            </w:r>
          </w:p>
          <w:p>
            <w:pPr>
              <w:widowControl/>
              <w:jc w:val="both"/>
              <w:rPr>
                <w:rFonts w:ascii="宋体" w:hAnsi="宋体" w:cs="宋体"/>
                <w:color w:val="000000"/>
                <w:szCs w:val="21"/>
              </w:rPr>
            </w:pPr>
            <w:r>
              <w:rPr>
                <w:rFonts w:hint="eastAsia" w:ascii="宋体" w:hAnsi="宋体" w:cs="宋体"/>
                <w:color w:val="000000"/>
                <w:kern w:val="0"/>
                <w:szCs w:val="21"/>
              </w:rPr>
              <w:t>利用多变的组合造型激发学生的潜力和创造力。由若干高光泽塑胶ABS制做的小积木和大积木组成。孩子可以通过这些积木在操作平台上来搭建，普通级和大师级两个层次的搭建模型。例如普通级中的动物、交通工具等，大师级中的楼房等；也可以让孩子发挥自己的想象力用积木搭建出各种新型模型。同时也培养孩子手的灵活性和专注力，眼手协调能力，并激发孩子的创造能力。</w:t>
            </w:r>
          </w:p>
        </w:tc>
        <w:tc>
          <w:tcPr>
            <w:tcW w:w="73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auto"/>
            <w:tcMar>
              <w:top w:w="15" w:type="dxa"/>
              <w:left w:w="15" w:type="dxa"/>
              <w:right w:w="15" w:type="dxa"/>
            </w:tcMar>
            <w:vAlign w:val="center"/>
          </w:tcPr>
          <w:p>
            <w:pPr>
              <w:widowControl/>
              <w:jc w:val="center"/>
              <w:rPr>
                <w:rFonts w:ascii="宋体" w:hAnsi="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28725" cy="1857375"/>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1229993" cy="185900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体感互动运动康复仪</w:t>
            </w:r>
          </w:p>
        </w:tc>
        <w:tc>
          <w:tcPr>
            <w:tcW w:w="8255" w:type="dxa"/>
            <w:tcMar>
              <w:top w:w="15" w:type="dxa"/>
              <w:left w:w="15" w:type="dxa"/>
              <w:right w:w="15" w:type="dxa"/>
            </w:tcMar>
            <w:vAlign w:val="center"/>
          </w:tcPr>
          <w:p>
            <w:pPr>
              <w:rPr>
                <w:rFonts w:ascii="宋体" w:hAnsi="宋体"/>
                <w:bCs/>
                <w:szCs w:val="21"/>
              </w:rPr>
            </w:pPr>
            <w:r>
              <w:rPr>
                <w:rFonts w:hint="eastAsia" w:ascii="宋体" w:hAnsi="宋体" w:cs="宋体"/>
                <w:szCs w:val="21"/>
              </w:rPr>
              <w:t>体感互动运动宣泄仪是一套依靠高科技的视频动作捕捉技术，令人的身体动作能即时反映到系统中，通过感应人体运动来推动画面进行的“体感互动运动宣泄设备”。系统中具有大自然景象、运动场景、竞技比赛等，</w:t>
            </w:r>
            <w:r>
              <w:rPr>
                <w:rFonts w:hint="eastAsia" w:ascii="宋体" w:hAnsi="宋体"/>
                <w:bCs/>
                <w:szCs w:val="21"/>
              </w:rPr>
              <w:t>体验者可采用操作平台实现人与场景的互动（支持多人），</w:t>
            </w:r>
            <w:r>
              <w:rPr>
                <w:rFonts w:hint="eastAsia" w:ascii="宋体" w:hAnsi="宋体" w:cs="宋体"/>
                <w:szCs w:val="21"/>
              </w:rPr>
              <w:t>可以让体验者有种身临其境的感觉。就像是在真实的情景之中，在互动的过程中达到肢</w:t>
            </w:r>
            <w:r>
              <w:rPr>
                <w:rFonts w:hint="eastAsia" w:ascii="宋体" w:hAnsi="宋体"/>
                <w:bCs/>
                <w:szCs w:val="21"/>
              </w:rPr>
              <w:t>体平衡训练、放松减压、</w:t>
            </w:r>
            <w:r>
              <w:rPr>
                <w:rFonts w:hint="eastAsia" w:ascii="宋体" w:hAnsi="宋体" w:cs="宋体"/>
                <w:szCs w:val="21"/>
              </w:rPr>
              <w:t>宣泄压力、调节情绪、</w:t>
            </w:r>
            <w:r>
              <w:rPr>
                <w:rFonts w:hint="eastAsia" w:ascii="宋体" w:hAnsi="宋体"/>
                <w:bCs/>
                <w:szCs w:val="21"/>
              </w:rPr>
              <w:t>增强生命活力的目的。</w:t>
            </w:r>
          </w:p>
          <w:p>
            <w:pPr>
              <w:numPr>
                <w:ilvl w:val="0"/>
                <w:numId w:val="1"/>
              </w:numPr>
              <w:rPr>
                <w:rFonts w:ascii="宋体" w:hAnsi="宋体"/>
                <w:bCs/>
                <w:szCs w:val="21"/>
              </w:rPr>
            </w:pPr>
            <w:r>
              <w:rPr>
                <w:rFonts w:hint="eastAsia" w:ascii="宋体" w:hAnsi="宋体"/>
                <w:bCs/>
                <w:szCs w:val="21"/>
              </w:rPr>
              <w:t>技术参数</w:t>
            </w:r>
          </w:p>
          <w:p>
            <w:pPr>
              <w:rPr>
                <w:rFonts w:ascii="宋体" w:hAnsi="宋体"/>
                <w:bCs/>
                <w:szCs w:val="21"/>
              </w:rPr>
            </w:pPr>
            <w:r>
              <w:rPr>
                <w:rFonts w:hint="eastAsia" w:ascii="宋体" w:hAnsi="宋体"/>
                <w:bCs/>
                <w:szCs w:val="21"/>
              </w:rPr>
              <w:t>1.落地一体式机柜：采用高强度金属材质，激光切割，丝印、氧化、喷塑，防锈、防腐、耐磨，不易沾污损坏；底部装有滚轮，方便移动，规格：120cm</w:t>
            </w:r>
            <w:r>
              <w:rPr>
                <w:rFonts w:ascii="宋体" w:hAnsi="宋体"/>
                <w:bCs/>
                <w:szCs w:val="21"/>
              </w:rPr>
              <w:t>*180cm*55cm</w:t>
            </w:r>
            <w:r>
              <w:rPr>
                <w:rFonts w:hint="eastAsia" w:ascii="宋体" w:hAnsi="宋体"/>
                <w:bCs/>
                <w:szCs w:val="21"/>
              </w:rPr>
              <w:t>；</w:t>
            </w:r>
          </w:p>
          <w:p>
            <w:pPr>
              <w:rPr>
                <w:rFonts w:ascii="宋体" w:hAnsi="宋体"/>
                <w:bCs/>
                <w:szCs w:val="21"/>
              </w:rPr>
            </w:pPr>
            <w:r>
              <w:rPr>
                <w:rFonts w:hint="eastAsia" w:ascii="宋体" w:hAnsi="宋体"/>
                <w:bCs/>
                <w:szCs w:val="21"/>
              </w:rPr>
              <w:t>2.</w:t>
            </w:r>
            <w:r>
              <w:rPr>
                <w:rFonts w:ascii="宋体" w:hAnsi="宋体"/>
                <w:bCs/>
                <w:szCs w:val="21"/>
              </w:rPr>
              <w:t>42</w:t>
            </w:r>
            <w:r>
              <w:rPr>
                <w:rFonts w:hint="eastAsia" w:ascii="宋体" w:hAnsi="宋体"/>
                <w:bCs/>
                <w:szCs w:val="21"/>
              </w:rPr>
              <w:t>寸超清液晶显示输出区域；</w:t>
            </w:r>
          </w:p>
          <w:p>
            <w:pPr>
              <w:numPr>
                <w:ilvl w:val="0"/>
                <w:numId w:val="2"/>
              </w:numPr>
              <w:rPr>
                <w:rFonts w:ascii="宋体" w:hAnsi="宋体"/>
                <w:bCs/>
                <w:szCs w:val="21"/>
              </w:rPr>
            </w:pPr>
            <w:r>
              <w:rPr>
                <w:rFonts w:hint="eastAsia" w:ascii="宋体" w:hAnsi="宋体"/>
                <w:bCs/>
                <w:szCs w:val="21"/>
              </w:rPr>
              <w:t>内置红外热感人体动作捕捉系统，通过红外感应技术、力学感应技术、3D影像捕捉技术，实现通过肢体动作与虚拟情景进行互动，无需手持设备，并且通过影像还原技术，可对使用过程进行拍照、录像，并将资料保存进个人档案；</w:t>
            </w:r>
          </w:p>
          <w:p>
            <w:pPr>
              <w:numPr>
                <w:ilvl w:val="0"/>
                <w:numId w:val="2"/>
              </w:numPr>
              <w:rPr>
                <w:rFonts w:ascii="宋体" w:hAnsi="宋体"/>
                <w:bCs/>
                <w:szCs w:val="21"/>
              </w:rPr>
            </w:pPr>
            <w:r>
              <w:rPr>
                <w:rFonts w:hint="eastAsia" w:ascii="宋体" w:hAnsi="宋体"/>
                <w:bCs/>
                <w:szCs w:val="21"/>
              </w:rPr>
              <w:t>内置不少于50款游戏项目，达到肢体平衡训练、反应力训练、智力训练、宣泄压力、调节情绪等目的；</w:t>
            </w:r>
          </w:p>
          <w:p>
            <w:pPr>
              <w:numPr>
                <w:ilvl w:val="0"/>
                <w:numId w:val="2"/>
              </w:numPr>
              <w:jc w:val="distribute"/>
              <w:rPr>
                <w:rFonts w:ascii="宋体" w:hAnsi="宋体"/>
                <w:bCs/>
                <w:szCs w:val="21"/>
              </w:rPr>
            </w:pPr>
            <w:r>
              <w:rPr>
                <w:rFonts w:hint="eastAsia" w:ascii="宋体" w:hAnsi="宋体"/>
                <w:bCs/>
                <w:szCs w:val="21"/>
              </w:rPr>
              <w:t>主机采用微软开发系统，</w:t>
            </w:r>
            <w:r>
              <w:rPr>
                <w:rFonts w:hint="eastAsia" w:ascii="宋体" w:hAnsi="宋体" w:cs="宋体"/>
                <w:szCs w:val="21"/>
              </w:rPr>
              <w:t>CPU:IBM Power-PC中央处理器；显示芯片:500MHz特质特制ATI图形处理器；内存性能:512MB DDR3 RAM；浮点运算能力:1万亿次浮点八进制；多边形性能:500M POLYGON/秒；像素填充率:16G像素/秒，4倍多采样全屏抗锯齿状态下每秒160</w:t>
            </w:r>
          </w:p>
          <w:p>
            <w:pPr>
              <w:numPr>
                <w:numId w:val="0"/>
              </w:numPr>
              <w:jc w:val="distribute"/>
              <w:rPr>
                <w:rFonts w:hint="eastAsia" w:ascii="宋体" w:hAnsi="宋体" w:cs="宋体"/>
                <w:szCs w:val="21"/>
              </w:rPr>
            </w:pPr>
            <w:r>
              <w:rPr>
                <w:rFonts w:hint="eastAsia" w:ascii="宋体" w:hAnsi="宋体" w:cs="宋体"/>
                <w:szCs w:val="21"/>
              </w:rPr>
              <w:t>亿样本的填充率；音频特性:支持48KHz 16位音频，拥有320个独立的解压缩通道，32位音频处理器，256条以上的音频通道；接口:USB2.0 x5，HDMI x1，AV接口 x1，RJ-45网络接口 x1，Vinect x1，音频 x1，电源 x1；无线:内建WiFi 802.11N支持功能，支持无</w:t>
            </w:r>
          </w:p>
          <w:p>
            <w:pPr>
              <w:numPr>
                <w:numId w:val="0"/>
              </w:numPr>
              <w:rPr>
                <w:rFonts w:ascii="宋体" w:hAnsi="宋体"/>
                <w:bCs/>
                <w:szCs w:val="21"/>
              </w:rPr>
            </w:pPr>
            <w:r>
              <w:rPr>
                <w:rFonts w:hint="eastAsia" w:ascii="宋体" w:hAnsi="宋体" w:cs="宋体"/>
                <w:szCs w:val="21"/>
              </w:rPr>
              <w:t>线手柄（配有高性能无线手柄一个）；</w:t>
            </w:r>
          </w:p>
          <w:p>
            <w:pPr>
              <w:rPr>
                <w:rFonts w:ascii="宋体" w:hAnsi="宋体"/>
                <w:bCs/>
                <w:szCs w:val="21"/>
              </w:rPr>
            </w:pPr>
            <w:r>
              <w:rPr>
                <w:rFonts w:hint="eastAsia" w:ascii="宋体" w:hAnsi="宋体"/>
                <w:bCs/>
                <w:szCs w:val="21"/>
              </w:rPr>
              <w:t>二、产品特点</w:t>
            </w:r>
          </w:p>
          <w:p>
            <w:pPr>
              <w:rPr>
                <w:rFonts w:ascii="宋体" w:hAnsi="宋体" w:cs="宋体"/>
                <w:szCs w:val="21"/>
              </w:rPr>
            </w:pPr>
            <w:r>
              <w:rPr>
                <w:rFonts w:hint="eastAsia" w:ascii="宋体" w:hAnsi="宋体" w:cs="宋体"/>
                <w:kern w:val="0"/>
                <w:szCs w:val="21"/>
              </w:rPr>
              <w:t>1.</w:t>
            </w:r>
            <w:r>
              <w:rPr>
                <w:rFonts w:hint="eastAsia" w:ascii="宋体" w:hAnsi="宋体" w:cs="宋体"/>
                <w:szCs w:val="21"/>
              </w:rPr>
              <w:t>肢</w:t>
            </w:r>
            <w:r>
              <w:rPr>
                <w:rFonts w:hint="eastAsia" w:ascii="宋体" w:hAnsi="宋体"/>
                <w:bCs/>
                <w:szCs w:val="21"/>
              </w:rPr>
              <w:t>体平衡训练：利用训练项目，</w:t>
            </w:r>
            <w:r>
              <w:rPr>
                <w:rFonts w:ascii="宋体" w:hAnsi="宋体" w:cs="宋体"/>
                <w:szCs w:val="21"/>
              </w:rPr>
              <w:t>依靠传感器捕捉三维空间中</w:t>
            </w:r>
            <w:r>
              <w:rPr>
                <w:rFonts w:hint="eastAsia" w:ascii="宋体" w:hAnsi="宋体" w:cs="宋体"/>
                <w:szCs w:val="21"/>
              </w:rPr>
              <w:t>使用者</w:t>
            </w:r>
            <w:r>
              <w:rPr>
                <w:rFonts w:ascii="宋体" w:hAnsi="宋体" w:cs="宋体"/>
                <w:szCs w:val="21"/>
              </w:rPr>
              <w:t>的运动，控制</w:t>
            </w:r>
            <w:r>
              <w:rPr>
                <w:rFonts w:hint="eastAsia" w:ascii="宋体" w:hAnsi="宋体" w:cs="宋体"/>
                <w:szCs w:val="21"/>
              </w:rPr>
              <w:t>情景中的</w:t>
            </w:r>
            <w:r>
              <w:rPr>
                <w:rFonts w:ascii="宋体" w:hAnsi="宋体" w:cs="宋体"/>
                <w:szCs w:val="21"/>
              </w:rPr>
              <w:t>角色进行训练，达到</w:t>
            </w:r>
            <w:r>
              <w:rPr>
                <w:rFonts w:hint="eastAsia" w:ascii="宋体" w:hAnsi="宋体" w:cs="宋体"/>
                <w:szCs w:val="21"/>
              </w:rPr>
              <w:t>肢体平衡训练的</w:t>
            </w:r>
            <w:r>
              <w:rPr>
                <w:rFonts w:ascii="宋体" w:hAnsi="宋体" w:cs="宋体"/>
                <w:szCs w:val="21"/>
              </w:rPr>
              <w:t>效果</w:t>
            </w:r>
            <w:r>
              <w:rPr>
                <w:rFonts w:hint="eastAsia" w:ascii="宋体" w:hAnsi="宋体" w:cs="宋体"/>
                <w:szCs w:val="21"/>
              </w:rPr>
              <w:t>；</w:t>
            </w:r>
          </w:p>
          <w:p>
            <w:pPr>
              <w:rPr>
                <w:rFonts w:ascii="宋体" w:hAnsi="宋体" w:cs="宋体"/>
                <w:szCs w:val="21"/>
              </w:rPr>
            </w:pPr>
            <w:r>
              <w:rPr>
                <w:rFonts w:ascii="宋体" w:hAnsi="宋体" w:cs="宋体"/>
                <w:szCs w:val="21"/>
              </w:rPr>
              <w:t>2.系统可实现多人互动宣泄，两个使用者分别扮演不同的角色，在游戏中实现合作,对打等等训练，有助于提高</w:t>
            </w:r>
            <w:r>
              <w:rPr>
                <w:rFonts w:hint="eastAsia" w:ascii="宋体" w:hAnsi="宋体" w:cs="宋体"/>
                <w:szCs w:val="21"/>
              </w:rPr>
              <w:t>使用者</w:t>
            </w:r>
            <w:r>
              <w:rPr>
                <w:rFonts w:ascii="宋体" w:hAnsi="宋体" w:cs="宋体"/>
                <w:szCs w:val="21"/>
              </w:rPr>
              <w:t>的沟通配合能力</w:t>
            </w:r>
            <w:r>
              <w:rPr>
                <w:rFonts w:hint="eastAsia" w:ascii="宋体" w:hAnsi="宋体" w:cs="宋体"/>
                <w:szCs w:val="21"/>
              </w:rPr>
              <w:t>；</w:t>
            </w:r>
          </w:p>
          <w:p>
            <w:pPr>
              <w:rPr>
                <w:rFonts w:ascii="宋体" w:hAnsi="宋体" w:cs="宋体"/>
                <w:szCs w:val="21"/>
              </w:rPr>
            </w:pPr>
            <w:r>
              <w:rPr>
                <w:rFonts w:ascii="宋体" w:hAnsi="宋体" w:cs="宋体"/>
                <w:szCs w:val="21"/>
              </w:rPr>
              <w:t>3.感觉统合训练：摸动物游戏，通过抚摸动物，当手触摸到动物</w:t>
            </w:r>
            <w:r>
              <w:rPr>
                <w:rFonts w:hint="eastAsia" w:ascii="宋体" w:hAnsi="宋体" w:cs="宋体"/>
                <w:szCs w:val="21"/>
              </w:rPr>
              <w:t>时</w:t>
            </w:r>
            <w:r>
              <w:rPr>
                <w:rFonts w:ascii="宋体" w:hAnsi="宋体" w:cs="宋体"/>
                <w:szCs w:val="21"/>
              </w:rPr>
              <w:t>，动物会给出相应的反应，具备多种动物可以选择</w:t>
            </w:r>
            <w:r>
              <w:rPr>
                <w:rFonts w:hint="eastAsia" w:ascii="宋体" w:hAnsi="宋体" w:cs="宋体"/>
                <w:szCs w:val="21"/>
              </w:rPr>
              <w:t>；</w:t>
            </w:r>
          </w:p>
          <w:p>
            <w:pPr>
              <w:rPr>
                <w:rFonts w:ascii="宋体" w:hAnsi="宋体" w:cs="宋体"/>
                <w:szCs w:val="21"/>
              </w:rPr>
            </w:pPr>
            <w:r>
              <w:rPr>
                <w:rFonts w:ascii="宋体" w:hAnsi="宋体" w:cs="宋体"/>
                <w:szCs w:val="21"/>
              </w:rPr>
              <w:t>4.</w:t>
            </w:r>
            <w:r>
              <w:rPr>
                <w:rFonts w:hint="eastAsia" w:ascii="宋体" w:hAnsi="宋体" w:cs="宋体"/>
                <w:szCs w:val="21"/>
              </w:rPr>
              <w:t>激发</w:t>
            </w:r>
            <w:r>
              <w:rPr>
                <w:rFonts w:ascii="宋体" w:hAnsi="宋体" w:cs="宋体"/>
                <w:szCs w:val="21"/>
              </w:rPr>
              <w:t>使用者积极性：系统提供的具有交互性、竞争性及娱乐性的活动能增加使用者的积极参与互动的愿望，从而使被动的心理辅导成为使用者的主动参与互动，实现了心理咨询工作的及时发现、主动解决、预防突发的作用</w:t>
            </w:r>
            <w:r>
              <w:rPr>
                <w:rFonts w:hint="eastAsia" w:ascii="宋体" w:hAnsi="宋体" w:cs="宋体"/>
                <w:szCs w:val="21"/>
              </w:rPr>
              <w:t>；</w:t>
            </w:r>
          </w:p>
          <w:p>
            <w:pPr>
              <w:rPr>
                <w:rFonts w:ascii="宋体" w:hAnsi="宋体" w:cs="宋体"/>
                <w:szCs w:val="21"/>
              </w:rPr>
            </w:pPr>
            <w:r>
              <w:rPr>
                <w:rFonts w:ascii="宋体" w:hAnsi="宋体" w:cs="宋体"/>
                <w:szCs w:val="21"/>
              </w:rPr>
              <w:t>5.左右脑协调：奇幻漂流，可以通过身体的向左向右向前跳跃来控制漂流小船，达到左右大脑协调，还可以2个</w:t>
            </w:r>
            <w:r>
              <w:rPr>
                <w:rFonts w:hint="eastAsia" w:ascii="宋体" w:hAnsi="宋体" w:cs="宋体"/>
                <w:szCs w:val="21"/>
              </w:rPr>
              <w:t>人</w:t>
            </w:r>
            <w:r>
              <w:rPr>
                <w:rFonts w:ascii="宋体" w:hAnsi="宋体" w:cs="宋体"/>
                <w:szCs w:val="21"/>
              </w:rPr>
              <w:t>同时游戏</w:t>
            </w:r>
            <w:r>
              <w:rPr>
                <w:rFonts w:hint="eastAsia" w:ascii="宋体" w:hAnsi="宋体" w:cs="宋体"/>
                <w:szCs w:val="21"/>
              </w:rPr>
              <w:t>；</w:t>
            </w:r>
          </w:p>
          <w:p>
            <w:pPr>
              <w:rPr>
                <w:rFonts w:ascii="宋体" w:hAnsi="宋体" w:cs="宋体"/>
                <w:szCs w:val="21"/>
              </w:rPr>
            </w:pPr>
            <w:r>
              <w:rPr>
                <w:rFonts w:ascii="宋体" w:hAnsi="宋体" w:cs="宋体"/>
                <w:szCs w:val="21"/>
              </w:rPr>
              <w:t>6.注意力矫正：忍者水果，可以通过手画动来切水果，当切到地雷游戏及结束，对注意力和肢体协调进行锻炼</w:t>
            </w:r>
            <w:r>
              <w:rPr>
                <w:rFonts w:hint="eastAsia" w:ascii="宋体" w:hAnsi="宋体" w:cs="宋体"/>
                <w:szCs w:val="21"/>
              </w:rPr>
              <w:t>；</w:t>
            </w:r>
          </w:p>
          <w:p>
            <w:pPr>
              <w:jc w:val="distribute"/>
              <w:rPr>
                <w:rFonts w:ascii="宋体" w:hAnsi="宋体" w:cs="宋体"/>
                <w:szCs w:val="21"/>
              </w:rPr>
            </w:pPr>
            <w:r>
              <w:rPr>
                <w:rFonts w:ascii="宋体" w:hAnsi="宋体" w:cs="宋体"/>
                <w:szCs w:val="21"/>
              </w:rPr>
              <w:t>7.虚拟情绪宣泄：利用内置宣泄游戏（例如：拳击、击剑）等游戏进行不良情绪的宣泄</w:t>
            </w:r>
            <w:r>
              <w:rPr>
                <w:rFonts w:hint="eastAsia" w:ascii="宋体" w:hAnsi="宋体" w:cs="宋体"/>
                <w:szCs w:val="21"/>
              </w:rPr>
              <w:t>；</w:t>
            </w:r>
          </w:p>
          <w:p>
            <w:pPr>
              <w:adjustRightInd w:val="0"/>
              <w:snapToGrid w:val="0"/>
              <w:jc w:val="both"/>
              <w:rPr>
                <w:rFonts w:ascii="宋体" w:hAnsi="宋体" w:cs="宋体"/>
                <w:bCs/>
                <w:color w:val="000000"/>
                <w:kern w:val="0"/>
                <w:szCs w:val="21"/>
                <w:lang w:bidi="ar"/>
              </w:rPr>
            </w:pPr>
            <w:r>
              <w:rPr>
                <w:rFonts w:ascii="宋体" w:hAnsi="宋体" w:cs="宋体"/>
                <w:szCs w:val="21"/>
              </w:rPr>
              <w:t>8.智力、反应力训练：利用内置游戏进行智力与反应力的训练</w:t>
            </w:r>
            <w:r>
              <w:rPr>
                <w:rFonts w:hint="eastAsia" w:ascii="宋体" w:hAnsi="宋体" w:cs="宋体"/>
                <w:szCs w:val="21"/>
              </w:rPr>
              <w:t>；</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pPr>
            <w:r>
              <w:drawing>
                <wp:inline distT="0" distB="0" distL="0" distR="0">
                  <wp:extent cx="1198245" cy="1771650"/>
                  <wp:effectExtent l="0" t="0" r="1905"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38"/>
                          <a:stretch>
                            <a:fillRect/>
                          </a:stretch>
                        </pic:blipFill>
                        <pic:spPr>
                          <a:xfrm>
                            <a:off x="0" y="0"/>
                            <a:ext cx="1199027" cy="1772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7</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感觉统合发展评估与训练系统</w:t>
            </w:r>
          </w:p>
        </w:tc>
        <w:tc>
          <w:tcPr>
            <w:tcW w:w="8255" w:type="dxa"/>
            <w:tcMar>
              <w:top w:w="15" w:type="dxa"/>
              <w:left w:w="15" w:type="dxa"/>
              <w:right w:w="15" w:type="dxa"/>
            </w:tcMar>
            <w:vAlign w:val="center"/>
          </w:tcPr>
          <w:p>
            <w:pPr>
              <w:adjustRightInd w:val="0"/>
              <w:snapToGrid w:val="0"/>
              <w:jc w:val="left"/>
              <w:rPr>
                <w:rFonts w:ascii="宋体" w:hAnsi="宋体" w:cs="宋体"/>
                <w:b/>
                <w:color w:val="000000"/>
                <w:szCs w:val="21"/>
              </w:rPr>
            </w:pPr>
            <w:r>
              <w:rPr>
                <w:rFonts w:hint="eastAsia" w:ascii="宋体" w:hAnsi="宋体" w:cs="宋体"/>
                <w:b/>
                <w:color w:val="000000"/>
                <w:szCs w:val="21"/>
              </w:rPr>
              <w:t>软件具有国家版权局颁发的软件著作权登记证书。</w:t>
            </w:r>
          </w:p>
          <w:p>
            <w:pPr>
              <w:adjustRightInd w:val="0"/>
              <w:snapToGrid w:val="0"/>
              <w:jc w:val="left"/>
              <w:rPr>
                <w:rFonts w:ascii="宋体" w:hAnsi="宋体" w:cs="宋体"/>
                <w:b/>
                <w:color w:val="000000"/>
                <w:szCs w:val="21"/>
              </w:rPr>
            </w:pPr>
            <w:r>
              <w:rPr>
                <w:rFonts w:hint="eastAsia" w:ascii="宋体" w:hAnsi="宋体" w:cs="宋体"/>
                <w:b/>
                <w:color w:val="000000"/>
                <w:szCs w:val="21"/>
              </w:rPr>
              <w:t>软件具有省级或国家级检测机构出具的软件产品登记测试报告。</w:t>
            </w:r>
          </w:p>
          <w:p>
            <w:pPr>
              <w:adjustRightInd w:val="0"/>
              <w:snapToGrid w:val="0"/>
              <w:jc w:val="both"/>
              <w:rPr>
                <w:rFonts w:ascii="宋体" w:hAnsi="宋体" w:cs="宋体"/>
                <w:color w:val="000000"/>
                <w:szCs w:val="21"/>
              </w:rPr>
            </w:pPr>
            <w:r>
              <w:rPr>
                <w:rFonts w:hint="eastAsia" w:ascii="宋体" w:hAnsi="宋体" w:cs="宋体"/>
                <w:color w:val="000000"/>
                <w:szCs w:val="21"/>
              </w:rPr>
              <w:t>感觉统合发展评估训练系统集档案管理、感统评估、训练方案、感统器材、实用资源等功能于一体，可以对学生的感觉统合发展水平进行全面评估，充分了解他们的发展水平、优势和不足，为学校和机构教学及康复训练提供一个科学的管理平台。系统支持根据评估结果生成智能化训练方案，也可自主制定个性化感觉统合训练计划方案，便于教师对学生开展针对性训练，。</w:t>
            </w:r>
          </w:p>
          <w:p>
            <w:pPr>
              <w:adjustRightInd w:val="0"/>
              <w:snapToGrid w:val="0"/>
              <w:jc w:val="both"/>
              <w:rPr>
                <w:rFonts w:ascii="宋体" w:hAnsi="宋体" w:cs="宋体"/>
                <w:color w:val="000000"/>
                <w:szCs w:val="21"/>
              </w:rPr>
            </w:pPr>
            <w:r>
              <w:rPr>
                <w:rFonts w:hint="eastAsia" w:ascii="宋体" w:hAnsi="宋体" w:cs="宋体"/>
                <w:color w:val="000000"/>
                <w:szCs w:val="21"/>
              </w:rPr>
              <w:t>系统档案管理支持创建学生个人档案，可以填写、编辑包括个人基本信息、孕期情况、发育史、疾病史、生活环境、沟通情况及家庭基本情况等内容。支持在档案内查看学生的历次评估记录及相应推荐训练方案、训练方案和训练记录。</w:t>
            </w:r>
          </w:p>
          <w:p>
            <w:pPr>
              <w:adjustRightInd w:val="0"/>
              <w:snapToGrid w:val="0"/>
              <w:jc w:val="both"/>
              <w:rPr>
                <w:rFonts w:ascii="宋体" w:hAnsi="宋体" w:cs="宋体"/>
                <w:color w:val="000000"/>
                <w:szCs w:val="21"/>
              </w:rPr>
            </w:pPr>
            <w:r>
              <w:rPr>
                <w:rFonts w:hint="eastAsia" w:ascii="宋体" w:hAnsi="宋体" w:cs="宋体"/>
                <w:color w:val="000000"/>
                <w:szCs w:val="21"/>
              </w:rPr>
              <w:t>感统评估模块提供了儿童感觉统合检测表及感觉发展核对表两套专业的感统评估工具。满足计算机自动化测试，可在完成评估后自动生成几大模块的数据得分，自动进行分析测试并生成详细结果报告及相应图表展示，并可已根据评估结果智能推荐相匹配的感统训练方案。</w:t>
            </w:r>
          </w:p>
          <w:p>
            <w:pPr>
              <w:adjustRightInd w:val="0"/>
              <w:snapToGrid w:val="0"/>
              <w:jc w:val="both"/>
              <w:rPr>
                <w:rFonts w:ascii="宋体" w:hAnsi="宋体" w:cs="宋体"/>
                <w:color w:val="000000"/>
                <w:szCs w:val="21"/>
              </w:rPr>
            </w:pPr>
            <w:r>
              <w:rPr>
                <w:rFonts w:hint="eastAsia" w:ascii="宋体" w:hAnsi="宋体" w:cs="宋体"/>
                <w:color w:val="000000"/>
                <w:szCs w:val="21"/>
              </w:rPr>
              <w:t>训练方案支持学生训练方案、学校训练方案、家庭训练方案三类方案共存。学生训练方案可以创建、查看、编辑某一学生的具体感统训练计划和训练方案内容，支持导出训练方案清单及训练方案周计划。用户可随时根据情况从系统预设的方案库中自由选择适合自身的方案，并添加到计划中。系统支持随时启用和停用有效或无效的方案，支持在训练计划中标记完成状态及填写完成情况记录。</w:t>
            </w:r>
          </w:p>
          <w:p>
            <w:pPr>
              <w:adjustRightInd w:val="0"/>
              <w:snapToGrid w:val="0"/>
              <w:jc w:val="both"/>
              <w:rPr>
                <w:rFonts w:ascii="宋体" w:hAnsi="宋体" w:cs="宋体"/>
                <w:color w:val="000000"/>
                <w:szCs w:val="21"/>
              </w:rPr>
            </w:pPr>
            <w:r>
              <w:rPr>
                <w:rFonts w:hint="eastAsia" w:ascii="宋体" w:hAnsi="宋体" w:cs="宋体"/>
                <w:color w:val="000000"/>
                <w:szCs w:val="21"/>
              </w:rPr>
              <w:t>学校训练方案提供了包括本体觉、触觉、前庭觉、感知觉综合等多种维度的适合在学校进行的数十种专业感统训练方案，如滑板车游戏、山洞呜呜叫、跳舞的小兔子、滚动大龙球、小袋鼠跳跳跳、青蛙大集合、恐龙王国等。每个训练方案都详细写明了训练方案的编号、训练名称、训练维度、训练器材、是否本校已有、适用儿童对象、训练目标及操作指导，便于教师快速学习适用。</w:t>
            </w:r>
          </w:p>
          <w:p>
            <w:pPr>
              <w:adjustRightInd w:val="0"/>
              <w:snapToGrid w:val="0"/>
              <w:jc w:val="both"/>
              <w:rPr>
                <w:rFonts w:ascii="宋体" w:hAnsi="宋体" w:cs="宋体"/>
                <w:color w:val="000000"/>
                <w:szCs w:val="21"/>
              </w:rPr>
            </w:pPr>
            <w:r>
              <w:rPr>
                <w:rFonts w:hint="eastAsia" w:ascii="宋体" w:hAnsi="宋体" w:cs="宋体"/>
                <w:color w:val="000000"/>
                <w:szCs w:val="21"/>
              </w:rPr>
              <w:t>家庭训练方案提供了适用于触觉敏感不足、身体协调不良、多动症、自闭症等不同类型学生的数十种专业感统训练方案，如麻布刷刷、风儿吹吹、大画布、冰袋游戏、海豹顶球、好玩的泥土、快乐高尔夫等。每个训练方案都详细写明了训练方案的编号、训练名称、训练维度、适用儿童对象、训练目标及操作指导，便于家长快速上手实践。</w:t>
            </w:r>
          </w:p>
          <w:p>
            <w:pPr>
              <w:adjustRightInd w:val="0"/>
              <w:snapToGrid w:val="0"/>
              <w:jc w:val="both"/>
              <w:rPr>
                <w:rFonts w:ascii="宋体" w:hAnsi="宋体" w:cs="宋体"/>
                <w:color w:val="000000"/>
                <w:szCs w:val="21"/>
              </w:rPr>
            </w:pPr>
            <w:r>
              <w:rPr>
                <w:rFonts w:hint="eastAsia" w:ascii="宋体" w:hAnsi="宋体" w:cs="宋体"/>
                <w:color w:val="000000"/>
                <w:szCs w:val="21"/>
              </w:rPr>
              <w:t>感统器材模块提供了包括适用于感知觉综合、前庭觉、本体觉、平衡感、触觉、视知觉综合等不同类别的数十种专业感统器材，如大龙球、羊角球、跳床、十六合一步道、晃动平衡木、海洋球池、万象组合、彩色大滚筒等。也可根据情况随时新增或编辑感统器材。每个训练器材内都详细标明了器材的图片、编号、名称、训练类别、器材所属、单位、数量、介绍及应用方法，便于用户迅速学习掌握。</w:t>
            </w:r>
          </w:p>
          <w:p>
            <w:pPr>
              <w:adjustRightInd w:val="0"/>
              <w:snapToGrid w:val="0"/>
              <w:jc w:val="left"/>
              <w:rPr>
                <w:rFonts w:ascii="宋体" w:hAnsi="宋体" w:cs="宋体"/>
                <w:color w:val="000000"/>
                <w:szCs w:val="21"/>
              </w:rPr>
            </w:pPr>
            <w:r>
              <w:rPr>
                <w:rFonts w:hint="eastAsia" w:ascii="宋体" w:hAnsi="宋体" w:cs="宋体"/>
                <w:color w:val="000000"/>
                <w:szCs w:val="21"/>
              </w:rPr>
              <w:t>系统自带的实用资源包括视频、案例、教案、课件等不同维度的专业感统相关资源数十套，如儿童感觉统合训练实用手册、感觉统合器材操作方法及功能、感觉统合训练对儿童行为问题影响的分析、家居自助感统训练、感统训练的意义等。每个资源都提供了图片、介绍及相应资源查看和下载。系统支持随时根据需求新增上传新的资源及资源类型。</w:t>
            </w:r>
          </w:p>
          <w:p>
            <w:pPr>
              <w:adjustRightInd w:val="0"/>
              <w:snapToGrid w:val="0"/>
              <w:jc w:val="both"/>
              <w:rPr>
                <w:rFonts w:ascii="宋体" w:hAnsi="宋体" w:cs="宋体"/>
                <w:color w:val="000000"/>
                <w:kern w:val="0"/>
                <w:szCs w:val="21"/>
                <w:lang w:bidi="ar"/>
              </w:rPr>
            </w:pPr>
            <w:r>
              <w:rPr>
                <w:rFonts w:hint="eastAsia" w:ascii="宋体" w:hAnsi="宋体" w:cs="宋体"/>
                <w:color w:val="000000"/>
                <w:szCs w:val="21"/>
              </w:rPr>
              <w:t>系统还提供了感统相关的教学辅助工具并支持在线查看及下载，如感统教案模板、感统课堂记录表、感统训练每日反馈表、感统训练计划模板、感觉发展核对表等。</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19200" cy="685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1220864" cy="686402"/>
                          </a:xfrm>
                          <a:prstGeom prst="rect">
                            <a:avLst/>
                          </a:prstGeom>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drawing>
                <wp:inline distT="0" distB="0" distL="0" distR="0">
                  <wp:extent cx="1250315" cy="704850"/>
                  <wp:effectExtent l="0" t="0" r="698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1251850" cy="70546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8</w:t>
            </w:r>
          </w:p>
        </w:tc>
        <w:tc>
          <w:tcPr>
            <w:tcW w:w="1127" w:type="dxa"/>
            <w:shd w:val="clear" w:color="auto" w:fill="auto"/>
            <w:tcMar>
              <w:top w:w="15" w:type="dxa"/>
              <w:left w:w="15" w:type="dxa"/>
              <w:right w:w="15" w:type="dxa"/>
            </w:tcMar>
            <w:vAlign w:val="center"/>
          </w:tcPr>
          <w:p>
            <w:pPr>
              <w:jc w:val="center"/>
              <w:rPr>
                <w:rFonts w:ascii="宋体" w:hAnsi="宋体"/>
                <w:color w:val="000000"/>
                <w:szCs w:val="21"/>
                <w:highlight w:val="yellow"/>
              </w:rPr>
            </w:pPr>
            <w:r>
              <w:rPr>
                <w:rFonts w:hint="eastAsia" w:ascii="宋体" w:hAnsi="宋体"/>
                <w:color w:val="000000"/>
                <w:szCs w:val="21"/>
              </w:rPr>
              <w:t>声响袋鼠大龙球</w:t>
            </w:r>
          </w:p>
        </w:tc>
        <w:tc>
          <w:tcPr>
            <w:tcW w:w="8255" w:type="dxa"/>
            <w:tcMar>
              <w:top w:w="15" w:type="dxa"/>
              <w:left w:w="15" w:type="dxa"/>
              <w:right w:w="15" w:type="dxa"/>
            </w:tcMar>
            <w:vAlign w:val="center"/>
          </w:tcPr>
          <w:p>
            <w:pPr>
              <w:rPr>
                <w:rFonts w:ascii="宋体" w:hAnsi="宋体" w:cs="宋体"/>
                <w:bCs/>
                <w:color w:val="000000"/>
                <w:szCs w:val="21"/>
              </w:rPr>
            </w:pPr>
            <w:r>
              <w:rPr>
                <w:rFonts w:hint="eastAsia" w:ascii="宋体" w:hAnsi="宋体" w:cs="宋体"/>
                <w:bCs/>
                <w:color w:val="000000"/>
                <w:szCs w:val="21"/>
              </w:rPr>
              <w:t xml:space="preserve">  </w:t>
            </w:r>
          </w:p>
          <w:p>
            <w:pPr>
              <w:jc w:val="distribute"/>
              <w:rPr>
                <w:rFonts w:hint="eastAsia" w:ascii="宋体" w:hAnsi="宋体" w:cs="宋体"/>
                <w:bCs/>
                <w:color w:val="000000"/>
                <w:szCs w:val="21"/>
              </w:rPr>
            </w:pPr>
            <w:r>
              <w:rPr>
                <w:rFonts w:hint="eastAsia" w:ascii="宋体" w:hAnsi="宋体" w:cs="宋体"/>
                <w:bCs/>
                <w:color w:val="000000"/>
                <w:szCs w:val="21"/>
              </w:rPr>
              <w:t>大龙球内含14个以上小彩球，环保透明材质，材质：PVC，承重100KG，规格：50cm，能</w:t>
            </w:r>
          </w:p>
          <w:p>
            <w:pPr>
              <w:rPr>
                <w:rFonts w:ascii="宋体" w:hAnsi="宋体" w:cs="宋体"/>
                <w:b/>
                <w:bCs/>
                <w:color w:val="000000"/>
                <w:szCs w:val="21"/>
              </w:rPr>
            </w:pPr>
            <w:r>
              <w:rPr>
                <w:rFonts w:hint="eastAsia" w:ascii="宋体" w:hAnsi="宋体" w:cs="宋体"/>
                <w:bCs/>
                <w:color w:val="000000"/>
                <w:szCs w:val="21"/>
              </w:rPr>
              <w:t>够锻炼孩子的触觉、视觉、听觉的多感官综合训练为一体。</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51585" cy="1076325"/>
                  <wp:effectExtent l="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1252970" cy="107726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9</w:t>
            </w:r>
          </w:p>
        </w:tc>
        <w:tc>
          <w:tcPr>
            <w:tcW w:w="1127" w:type="dxa"/>
            <w:shd w:val="clear" w:color="auto" w:fill="auto"/>
            <w:tcMar>
              <w:top w:w="15" w:type="dxa"/>
              <w:left w:w="15" w:type="dxa"/>
              <w:right w:w="15" w:type="dxa"/>
            </w:tcMar>
            <w:vAlign w:val="center"/>
          </w:tcPr>
          <w:p>
            <w:pPr>
              <w:jc w:val="center"/>
              <w:rPr>
                <w:rFonts w:ascii="宋体" w:hAnsi="宋体"/>
                <w:color w:val="000000"/>
                <w:szCs w:val="21"/>
                <w:highlight w:val="yellow"/>
              </w:rPr>
            </w:pPr>
            <w:r>
              <w:rPr>
                <w:rFonts w:hint="eastAsia" w:ascii="宋体" w:hAnsi="宋体"/>
                <w:color w:val="000000"/>
                <w:szCs w:val="21"/>
              </w:rPr>
              <w:t>声响母子花生球</w:t>
            </w:r>
          </w:p>
        </w:tc>
        <w:tc>
          <w:tcPr>
            <w:tcW w:w="8255" w:type="dxa"/>
            <w:tcMar>
              <w:top w:w="15" w:type="dxa"/>
              <w:left w:w="15" w:type="dxa"/>
              <w:right w:w="15" w:type="dxa"/>
            </w:tcMar>
            <w:vAlign w:val="center"/>
          </w:tcPr>
          <w:p>
            <w:pPr>
              <w:rPr>
                <w:rFonts w:ascii="宋体" w:hAnsi="宋体"/>
                <w:b/>
                <w:bCs/>
                <w:color w:val="000000"/>
                <w:szCs w:val="21"/>
              </w:rPr>
            </w:pPr>
          </w:p>
          <w:p>
            <w:pPr>
              <w:jc w:val="distribute"/>
              <w:rPr>
                <w:rFonts w:hint="eastAsia" w:ascii="宋体" w:hAnsi="宋体"/>
                <w:color w:val="000000"/>
                <w:szCs w:val="21"/>
              </w:rPr>
            </w:pPr>
            <w:r>
              <w:rPr>
                <w:rFonts w:ascii="宋体" w:hAnsi="宋体"/>
                <w:color w:val="000000"/>
                <w:szCs w:val="21"/>
              </w:rPr>
              <w:t>尺</w:t>
            </w:r>
            <w:r>
              <w:rPr>
                <w:rFonts w:hint="eastAsia" w:ascii="宋体" w:hAnsi="宋体"/>
                <w:color w:val="000000"/>
                <w:szCs w:val="21"/>
              </w:rPr>
              <w:t>寸30*70cm，承重100Kg, 环保透明材质，材质PVC，花生球内置14个以上小彩球，能</w:t>
            </w:r>
          </w:p>
          <w:p>
            <w:pPr>
              <w:rPr>
                <w:rFonts w:ascii="宋体" w:hAnsi="宋体" w:cs="宋体"/>
                <w:b/>
                <w:bCs/>
                <w:color w:val="000000"/>
                <w:szCs w:val="21"/>
              </w:rPr>
            </w:pPr>
            <w:r>
              <w:rPr>
                <w:rFonts w:hint="eastAsia" w:ascii="宋体" w:hAnsi="宋体"/>
                <w:color w:val="000000"/>
                <w:szCs w:val="21"/>
              </w:rPr>
              <w:t>够锻炼孩子的触觉、视觉、听觉的多感官综合训练为一体。</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26185" cy="685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1227561" cy="68640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10</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前庭平衡觉康复训练套件</w:t>
            </w:r>
          </w:p>
        </w:tc>
        <w:tc>
          <w:tcPr>
            <w:tcW w:w="8255" w:type="dxa"/>
            <w:tcMar>
              <w:top w:w="15" w:type="dxa"/>
              <w:left w:w="15" w:type="dxa"/>
              <w:right w:w="15" w:type="dxa"/>
            </w:tcMar>
            <w:vAlign w:val="center"/>
          </w:tcPr>
          <w:p>
            <w:pPr>
              <w:jc w:val="distribute"/>
              <w:rPr>
                <w:rFonts w:hint="eastAsia" w:ascii="宋体" w:hAnsi="宋体" w:cs="宋体"/>
                <w:color w:val="000000"/>
                <w:szCs w:val="21"/>
              </w:rPr>
            </w:pPr>
            <w:r>
              <w:rPr>
                <w:rFonts w:hint="eastAsia" w:ascii="宋体" w:hAnsi="宋体" w:cs="宋体"/>
                <w:color w:val="000000"/>
                <w:szCs w:val="21"/>
              </w:rPr>
              <w:t>硬橡胶手柄提供了一个良好的抓地力，可以适应学生的高度。根据学生的身高等，学生可以用松弛的部分</w:t>
            </w:r>
            <w:r>
              <w:rPr>
                <w:rFonts w:hint="eastAsia" w:ascii="宋体" w:hAnsi="宋体" w:cs="宋体"/>
                <w:color w:val="000000"/>
                <w:szCs w:val="21"/>
                <w:lang w:eastAsia="zh-CN"/>
              </w:rPr>
              <w:t>（</w:t>
            </w:r>
            <w:r>
              <w:rPr>
                <w:rFonts w:hint="eastAsia" w:ascii="宋体" w:hAnsi="宋体" w:cs="宋体"/>
                <w:color w:val="000000"/>
                <w:szCs w:val="21"/>
              </w:rPr>
              <w:t>从3.5厘米到14.8厘米</w:t>
            </w:r>
            <w:r>
              <w:rPr>
                <w:rFonts w:hint="eastAsia" w:ascii="宋体" w:hAnsi="宋体" w:cs="宋体"/>
                <w:color w:val="000000"/>
                <w:szCs w:val="21"/>
                <w:lang w:eastAsia="zh-CN"/>
              </w:rPr>
              <w:t>）</w:t>
            </w:r>
            <w:r>
              <w:rPr>
                <w:rFonts w:hint="eastAsia" w:ascii="宋体" w:hAnsi="宋体" w:cs="宋体"/>
                <w:color w:val="000000"/>
                <w:szCs w:val="21"/>
              </w:rPr>
              <w:t>来调节踩踏器的高度，使学生可以很容易地和</w:t>
            </w:r>
          </w:p>
          <w:p>
            <w:pPr>
              <w:jc w:val="left"/>
              <w:rPr>
                <w:rFonts w:ascii="宋体" w:hAnsi="宋体" w:cs="宋体"/>
                <w:b/>
                <w:color w:val="000000"/>
                <w:szCs w:val="21"/>
              </w:rPr>
            </w:pPr>
            <w:r>
              <w:rPr>
                <w:rFonts w:hint="eastAsia" w:ascii="宋体" w:hAnsi="宋体" w:cs="宋体"/>
                <w:color w:val="000000"/>
                <w:szCs w:val="21"/>
              </w:rPr>
              <w:t>安全地安装或拆卸松弛的部分；                                                                                1.本产品带踩压形状的塑料底座，合成橡胶的手柄。由4个塑料部分制成；                                                                               2.尺寸：260x160x700mm；                                                                                                               3.材料：PP 塑料, TPE合成橡胶；</w:t>
            </w:r>
          </w:p>
          <w:p>
            <w:pPr>
              <w:jc w:val="left"/>
              <w:rPr>
                <w:rFonts w:ascii="宋体" w:hAnsi="宋体" w:cs="宋体"/>
                <w:color w:val="000000"/>
                <w:szCs w:val="21"/>
              </w:rPr>
            </w:pPr>
            <w:r>
              <w:rPr>
                <w:rFonts w:hint="eastAsia" w:ascii="宋体" w:hAnsi="宋体" w:cs="宋体"/>
                <w:color w:val="000000"/>
                <w:szCs w:val="21"/>
              </w:rPr>
              <w:t xml:space="preserve">4.产品承重不小于98kg；                                      </w:t>
            </w:r>
          </w:p>
          <w:p>
            <w:pPr>
              <w:rPr>
                <w:rFonts w:ascii="宋体" w:hAnsi="宋体" w:cs="宋体"/>
                <w:color w:val="000000"/>
                <w:szCs w:val="21"/>
                <w:highlight w:val="yellow"/>
              </w:rPr>
            </w:pPr>
            <w:r>
              <w:rPr>
                <w:rFonts w:hint="eastAsia" w:ascii="宋体" w:hAnsi="宋体" w:cs="宋体"/>
                <w:color w:val="000000"/>
                <w:szCs w:val="21"/>
              </w:rPr>
              <w:t>5.具有良好的抗跌落性：在1米高度自由落体，产品正常使用；</w:t>
            </w:r>
          </w:p>
        </w:tc>
        <w:tc>
          <w:tcPr>
            <w:tcW w:w="735" w:type="dxa"/>
            <w:shd w:val="clear" w:color="000000" w:fill="FFFFFF"/>
            <w:tcMar>
              <w:top w:w="15" w:type="dxa"/>
              <w:left w:w="15" w:type="dxa"/>
              <w:right w:w="15" w:type="dxa"/>
            </w:tcMar>
            <w:vAlign w:val="center"/>
          </w:tcPr>
          <w:p>
            <w:pPr>
              <w:jc w:val="center"/>
              <w:rPr>
                <w:rFonts w:ascii="宋体" w:hAnsi="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rPr>
                <w:rFonts w:asciiTheme="minorEastAsia" w:hAnsiTheme="minorEastAsia"/>
                <w:szCs w:val="21"/>
              </w:rPr>
              <w:drawing>
                <wp:inline distT="0" distB="0" distL="0" distR="0">
                  <wp:extent cx="1195705" cy="1181100"/>
                  <wp:effectExtent l="0" t="0" r="4445" b="0"/>
                  <wp:docPr id="28" name="图片 28" descr="D:\李延杰\文档\2020\2020产品参数报价方案\产品图片\新产品图片\29ef8560edd0c452a4dc4dd700ba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李延杰\文档\2020\2020产品参数报价方案\产品图片\新产品图片\29ef8560edd0c452a4dc4dd700baa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198390" cy="118340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Height w:val="90" w:hRule="atLeast"/>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11</w:t>
            </w:r>
          </w:p>
        </w:tc>
        <w:tc>
          <w:tcPr>
            <w:tcW w:w="1127"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蹦床</w:t>
            </w:r>
          </w:p>
        </w:tc>
        <w:tc>
          <w:tcPr>
            <w:tcW w:w="8255" w:type="dxa"/>
            <w:shd w:val="clear" w:color="auto" w:fill="FFFFFF"/>
            <w:tcMar>
              <w:top w:w="15" w:type="dxa"/>
              <w:left w:w="15" w:type="dxa"/>
              <w:right w:w="15" w:type="dxa"/>
            </w:tcMar>
            <w:vAlign w:val="center"/>
          </w:tcPr>
          <w:p>
            <w:pPr>
              <w:widowControl/>
              <w:adjustRightInd w:val="0"/>
              <w:snapToGrid w:val="0"/>
              <w:jc w:val="left"/>
              <w:textAlignment w:val="center"/>
              <w:rPr>
                <w:rFonts w:ascii="宋体" w:hAnsi="宋体" w:cs="宋体"/>
                <w:color w:val="000000"/>
                <w:kern w:val="0"/>
                <w:szCs w:val="21"/>
                <w:lang w:bidi="ar"/>
              </w:rPr>
            </w:pPr>
            <w:r>
              <w:rPr>
                <w:rFonts w:hint="eastAsia" w:ascii="宋体" w:hAnsi="宋体" w:eastAsia="宋体" w:cs="宋体"/>
                <w:sz w:val="24"/>
                <w:szCs w:val="24"/>
              </w:rPr>
              <w:t>外形尺寸：直径90cm，护罩采用牛津布材质；弹簧：镀锌，跳布：PP。承重力：120kg，弹簧连接钢管和跳布。该产品是感觉统合训练基本配备器材,训练儿童的本体感。刺激儿童本体与重力，提高四肢的协调性与跳跃能力。</w:t>
            </w:r>
          </w:p>
        </w:tc>
        <w:tc>
          <w:tcPr>
            <w:tcW w:w="73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rPr>
                <w:rFonts w:asciiTheme="minorEastAsia" w:hAnsiTheme="minorEastAsia"/>
                <w:szCs w:val="21"/>
              </w:rPr>
              <w:drawing>
                <wp:inline distT="0" distB="0" distL="0" distR="0">
                  <wp:extent cx="1247775" cy="1371600"/>
                  <wp:effectExtent l="0" t="0" r="9525" b="0"/>
                  <wp:docPr id="7" name="图片 7" descr="蹦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蹦床"/>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48402" cy="1371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Height w:val="90" w:hRule="atLeast"/>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12</w:t>
            </w:r>
          </w:p>
        </w:tc>
        <w:tc>
          <w:tcPr>
            <w:tcW w:w="1127"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cs="宋体" w:asciiTheme="minorEastAsia" w:hAnsiTheme="minorEastAsia"/>
                <w:szCs w:val="21"/>
              </w:rPr>
              <w:t>本体旋转训练套件</w:t>
            </w:r>
          </w:p>
        </w:tc>
        <w:tc>
          <w:tcPr>
            <w:tcW w:w="8255" w:type="dxa"/>
            <w:shd w:val="clear" w:color="auto" w:fill="FFFFFF"/>
            <w:tcMar>
              <w:top w:w="15" w:type="dxa"/>
              <w:left w:w="15" w:type="dxa"/>
              <w:right w:w="15" w:type="dxa"/>
            </w:tcMar>
            <w:vAlign w:val="center"/>
          </w:tcPr>
          <w:p>
            <w:pPr>
              <w:rPr>
                <w:rFonts w:cs="宋体" w:asciiTheme="minorEastAsia" w:hAnsiTheme="minorEastAsia"/>
                <w:szCs w:val="21"/>
              </w:rPr>
            </w:pPr>
            <w:r>
              <w:rPr>
                <w:rFonts w:hint="eastAsia" w:cs="宋体" w:asciiTheme="minorEastAsia" w:hAnsiTheme="minorEastAsia"/>
                <w:szCs w:val="21"/>
              </w:rPr>
              <w:t>本体旋转训练套件应用于学生进行平衡、重心移动及本体感统刺激，同时具有防滑设计，可以进行全方位旋转训练。</w:t>
            </w:r>
          </w:p>
          <w:p>
            <w:pPr>
              <w:rPr>
                <w:rFonts w:cs="宋体" w:asciiTheme="minorEastAsia" w:hAnsiTheme="minorEastAsia"/>
                <w:szCs w:val="21"/>
              </w:rPr>
            </w:pPr>
            <w:r>
              <w:rPr>
                <w:rFonts w:hint="eastAsia" w:cs="宋体" w:asciiTheme="minorEastAsia" w:hAnsiTheme="minorEastAsia"/>
                <w:szCs w:val="21"/>
              </w:rPr>
              <w:t>1.表面为可接触性环保塑料和尼龙，带有弧形；</w:t>
            </w:r>
          </w:p>
          <w:p>
            <w:pPr>
              <w:rPr>
                <w:rFonts w:cs="宋体" w:asciiTheme="minorEastAsia" w:hAnsiTheme="minorEastAsia"/>
                <w:szCs w:val="21"/>
              </w:rPr>
            </w:pPr>
            <w:r>
              <w:rPr>
                <w:rFonts w:hint="eastAsia" w:cs="宋体" w:asciiTheme="minorEastAsia" w:hAnsiTheme="minorEastAsia"/>
                <w:szCs w:val="21"/>
              </w:rPr>
              <w:t>2.防滑性：表面具有防滑纹</w:t>
            </w:r>
          </w:p>
          <w:p>
            <w:pPr>
              <w:rPr>
                <w:rFonts w:cs="宋体" w:asciiTheme="minorEastAsia" w:hAnsiTheme="minorEastAsia"/>
                <w:szCs w:val="21"/>
              </w:rPr>
            </w:pPr>
            <w:r>
              <w:rPr>
                <w:rFonts w:hint="eastAsia" w:cs="宋体" w:asciiTheme="minorEastAsia" w:hAnsiTheme="minorEastAsia"/>
                <w:szCs w:val="21"/>
              </w:rPr>
              <w:t>3.尺寸不小于 480x150x72mm；</w:t>
            </w:r>
          </w:p>
          <w:p>
            <w:pPr>
              <w:rPr>
                <w:rFonts w:cs="宋体" w:asciiTheme="minorEastAsia" w:hAnsiTheme="minorEastAsia"/>
                <w:szCs w:val="21"/>
              </w:rPr>
            </w:pPr>
            <w:r>
              <w:rPr>
                <w:rFonts w:hint="eastAsia" w:cs="宋体" w:asciiTheme="minorEastAsia" w:hAnsiTheme="minorEastAsia"/>
                <w:szCs w:val="21"/>
              </w:rPr>
              <w:t>4.地面具有 8 个轮；轮子直径不小于 35mm，两侧个 4 个轮子均匀分布在圆周上；</w:t>
            </w:r>
          </w:p>
          <w:p>
            <w:pPr>
              <w:rPr>
                <w:rFonts w:cs="宋体" w:asciiTheme="minorEastAsia" w:hAnsiTheme="minorEastAsia"/>
                <w:szCs w:val="21"/>
              </w:rPr>
            </w:pPr>
            <w:r>
              <w:rPr>
                <w:rFonts w:hint="eastAsia" w:cs="宋体" w:asciiTheme="minorEastAsia" w:hAnsiTheme="minorEastAsia"/>
                <w:szCs w:val="21"/>
              </w:rPr>
              <w:t>5.承重力不小于 70 公斤；</w:t>
            </w:r>
          </w:p>
          <w:p>
            <w:pPr>
              <w:rPr>
                <w:rFonts w:cs="宋体" w:asciiTheme="minorEastAsia" w:hAnsiTheme="minorEastAsia"/>
                <w:szCs w:val="21"/>
              </w:rPr>
            </w:pPr>
            <w:r>
              <w:rPr>
                <w:rFonts w:hint="eastAsia" w:cs="宋体" w:asciiTheme="minorEastAsia" w:hAnsiTheme="minorEastAsia"/>
                <w:szCs w:val="21"/>
              </w:rPr>
              <w:t>6.本体旋转性：一边轮子全部着地时，旋转角度不小于 330°；</w:t>
            </w:r>
          </w:p>
          <w:p>
            <w:pPr>
              <w:rPr>
                <w:rFonts w:cs="宋体" w:asciiTheme="minorEastAsia" w:hAnsiTheme="minorEastAsia"/>
                <w:szCs w:val="21"/>
              </w:rPr>
            </w:pPr>
            <w:r>
              <w:rPr>
                <w:rFonts w:hint="eastAsia" w:cs="宋体" w:asciiTheme="minorEastAsia" w:hAnsiTheme="minorEastAsia"/>
                <w:szCs w:val="21"/>
              </w:rPr>
              <w:t>7.倾斜度: 一边轮子全部着地时，踏板倾斜度不小于 7 度；</w:t>
            </w:r>
          </w:p>
        </w:tc>
        <w:tc>
          <w:tcPr>
            <w:tcW w:w="73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shd w:val="clear" w:color="auto" w:fill="FFFFFF"/>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drawing>
                <wp:inline distT="0" distB="0" distL="0" distR="0">
                  <wp:extent cx="1205230" cy="151447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45"/>
                          <a:stretch>
                            <a:fillRect/>
                          </a:stretch>
                        </pic:blipFill>
                        <pic:spPr>
                          <a:xfrm>
                            <a:off x="0" y="0"/>
                            <a:ext cx="1206510" cy="151580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13</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奥尔夫音乐26件套</w:t>
            </w:r>
          </w:p>
        </w:tc>
        <w:tc>
          <w:tcPr>
            <w:tcW w:w="8255" w:type="dxa"/>
            <w:tcMar>
              <w:top w:w="15" w:type="dxa"/>
              <w:left w:w="15" w:type="dxa"/>
              <w:right w:w="15" w:type="dxa"/>
            </w:tcMar>
            <w:vAlign w:val="center"/>
          </w:tcPr>
          <w:p>
            <w:pPr>
              <w:widowControl/>
              <w:adjustRightInd w:val="0"/>
              <w:snapToGrid w:val="0"/>
              <w:jc w:val="both"/>
              <w:textAlignment w:val="center"/>
            </w:pPr>
            <w:r>
              <w:t>奥尔夫音乐是关于音乐的启蒙，把动作、舞蹈、语言紧密结合在一起，让音乐成为孩子自身的需求，选择以击打乐器为主的，如八音琴、本木砂球、圆舞板、西班牙响板、加沟双响筒、铃鼓、沙蛋、串铃、刮棒、腕铃、铜锣、鱼蛙、单响筒、铃圈、三角铁、圆鼓等深受孩子欢迎的26件小型乐器组成套装，来实现孩子用他们肢体自由地演绎乐器抒发内心</w:t>
            </w:r>
          </w:p>
          <w:p>
            <w:pPr>
              <w:widowControl/>
              <w:adjustRightInd w:val="0"/>
              <w:snapToGrid w:val="0"/>
              <w:jc w:val="both"/>
              <w:textAlignment w:val="center"/>
              <w:rPr>
                <w:rFonts w:ascii="宋体" w:hAnsi="宋体" w:cs="宋体"/>
                <w:color w:val="000000"/>
                <w:szCs w:val="21"/>
              </w:rPr>
            </w:pPr>
            <w:r>
              <w:t>世界的愿望。</w:t>
            </w:r>
            <w:r>
              <w:rPr>
                <w:rFonts w:hint="eastAsia"/>
              </w:rPr>
              <w:t>含乐器收纳箱。</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449070" cy="1270000"/>
                  <wp:effectExtent l="0" t="0" r="0" b="635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46"/>
                          <a:stretch>
                            <a:fillRect/>
                          </a:stretch>
                        </pic:blipFill>
                        <pic:spPr>
                          <a:xfrm>
                            <a:off x="0" y="0"/>
                            <a:ext cx="1449070" cy="1270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14</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吸力绘画仪</w:t>
            </w:r>
          </w:p>
        </w:tc>
        <w:tc>
          <w:tcPr>
            <w:tcW w:w="8255" w:type="dxa"/>
            <w:tcMar>
              <w:top w:w="15" w:type="dxa"/>
              <w:left w:w="15" w:type="dxa"/>
              <w:right w:w="15" w:type="dxa"/>
            </w:tcMar>
            <w:vAlign w:val="center"/>
          </w:tcPr>
          <w:p>
            <w:pPr>
              <w:rPr>
                <w:rFonts w:cs="宋体" w:asciiTheme="minorEastAsia" w:hAnsiTheme="minorEastAsia"/>
                <w:szCs w:val="21"/>
              </w:rPr>
            </w:pPr>
            <w:r>
              <w:rPr>
                <w:rFonts w:hint="eastAsia" w:cs="宋体" w:asciiTheme="minorEastAsia" w:hAnsiTheme="minorEastAsia"/>
                <w:szCs w:val="21"/>
              </w:rPr>
              <w:t>吸力沙画仪通过画杆控制磁性吸头，在画板上的彩砂上绘制图画，以此锻炼学生的手部精细动作以及手腕的大动作，在绘画的过程中达到训练的目的。</w:t>
            </w:r>
          </w:p>
          <w:p>
            <w:pPr>
              <w:rPr>
                <w:rFonts w:cs="宋体" w:asciiTheme="minorEastAsia" w:hAnsiTheme="minorEastAsia"/>
                <w:szCs w:val="21"/>
              </w:rPr>
            </w:pPr>
            <w:r>
              <w:rPr>
                <w:rFonts w:hint="eastAsia" w:cs="宋体" w:asciiTheme="minorEastAsia" w:hAnsiTheme="minorEastAsia"/>
                <w:szCs w:val="21"/>
              </w:rPr>
              <w:t>产品组成：</w:t>
            </w:r>
          </w:p>
          <w:p>
            <w:pPr>
              <w:rPr>
                <w:rFonts w:cs="宋体" w:asciiTheme="minorEastAsia" w:hAnsiTheme="minorEastAsia"/>
                <w:szCs w:val="21"/>
              </w:rPr>
            </w:pPr>
            <w:r>
              <w:rPr>
                <w:rFonts w:hint="eastAsia" w:cs="宋体" w:asciiTheme="minorEastAsia" w:hAnsiTheme="minorEastAsia"/>
                <w:szCs w:val="21"/>
              </w:rPr>
              <w:t>1.产品整体尺寸为：52*17*31cm。</w:t>
            </w:r>
          </w:p>
          <w:p>
            <w:pPr>
              <w:rPr>
                <w:rFonts w:cs="宋体" w:asciiTheme="minorEastAsia" w:hAnsiTheme="minorEastAsia"/>
                <w:szCs w:val="21"/>
              </w:rPr>
            </w:pPr>
            <w:r>
              <w:rPr>
                <w:rFonts w:hint="eastAsia" w:cs="宋体" w:asciiTheme="minorEastAsia" w:hAnsiTheme="minorEastAsia"/>
                <w:szCs w:val="21"/>
              </w:rPr>
              <w:t>2.产品主体为实木材质。</w:t>
            </w:r>
          </w:p>
          <w:p>
            <w:pPr>
              <w:rPr>
                <w:rFonts w:cs="宋体" w:asciiTheme="minorEastAsia" w:hAnsiTheme="minorEastAsia"/>
                <w:szCs w:val="21"/>
              </w:rPr>
            </w:pPr>
            <w:r>
              <w:rPr>
                <w:rFonts w:hint="eastAsia" w:cs="宋体" w:asciiTheme="minorEastAsia" w:hAnsiTheme="minorEastAsia"/>
                <w:szCs w:val="21"/>
              </w:rPr>
              <w:t>3.木质画板夹1个，用于放置图画。</w:t>
            </w:r>
          </w:p>
          <w:p>
            <w:pPr>
              <w:rPr>
                <w:rFonts w:cs="宋体" w:asciiTheme="minorEastAsia" w:hAnsiTheme="minorEastAsia"/>
                <w:szCs w:val="21"/>
              </w:rPr>
            </w:pPr>
            <w:r>
              <w:rPr>
                <w:rFonts w:hint="eastAsia" w:cs="宋体" w:asciiTheme="minorEastAsia" w:hAnsiTheme="minorEastAsia"/>
                <w:szCs w:val="21"/>
              </w:rPr>
              <w:t>4.亚克力沙盘1个，用于盛放彩砂。</w:t>
            </w:r>
          </w:p>
          <w:p>
            <w:pPr>
              <w:rPr>
                <w:rFonts w:cs="宋体" w:asciiTheme="minorEastAsia" w:hAnsiTheme="minorEastAsia"/>
                <w:szCs w:val="21"/>
              </w:rPr>
            </w:pPr>
            <w:r>
              <w:rPr>
                <w:rFonts w:hint="eastAsia" w:cs="宋体" w:asciiTheme="minorEastAsia" w:hAnsiTheme="minorEastAsia"/>
                <w:szCs w:val="21"/>
              </w:rPr>
              <w:t>5.彩砂1包，用于绘画。</w:t>
            </w:r>
          </w:p>
          <w:p>
            <w:pPr>
              <w:rPr>
                <w:rFonts w:cs="宋体" w:asciiTheme="minorEastAsia" w:hAnsiTheme="minorEastAsia"/>
                <w:szCs w:val="21"/>
              </w:rPr>
            </w:pPr>
            <w:r>
              <w:rPr>
                <w:rFonts w:hint="eastAsia" w:cs="宋体" w:asciiTheme="minorEastAsia" w:hAnsiTheme="minorEastAsia"/>
                <w:szCs w:val="21"/>
              </w:rPr>
              <w:t>6.画杆、磁性吸头一组，使用画杆控制磁性吸头绘画。7.抽屉1个，用于收纳画板夹、画杆、磁性吸头等。</w:t>
            </w:r>
          </w:p>
          <w:p>
            <w:pPr>
              <w:widowControl/>
              <w:adjustRightInd w:val="0"/>
              <w:snapToGrid w:val="0"/>
              <w:jc w:val="left"/>
              <w:textAlignment w:val="center"/>
              <w:rPr>
                <w:rFonts w:ascii="宋体" w:hAnsi="宋体" w:cs="宋体"/>
                <w:color w:val="000000"/>
                <w:szCs w:val="21"/>
              </w:rPr>
            </w:pPr>
            <w:r>
              <w:rPr>
                <w:rFonts w:hint="eastAsia" w:cs="宋体" w:asciiTheme="minorEastAsia" w:hAnsiTheme="minorEastAsia"/>
                <w:szCs w:val="21"/>
              </w:rPr>
              <w:t>8.配有沙耙1个，实木沙推1个。</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07135" cy="14192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1208618" cy="1420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Before w:w="0" w:type="auto"/>
          <w:wAfter w:w="2" w:type="dxa"/>
        </w:trPr>
        <w:tc>
          <w:tcPr>
            <w:tcW w:w="14909" w:type="dxa"/>
            <w:gridSpan w:val="8"/>
            <w:shd w:val="clear" w:color="auto" w:fill="auto"/>
            <w:tcMar>
              <w:top w:w="15" w:type="dxa"/>
              <w:left w:w="15" w:type="dxa"/>
              <w:right w:w="15" w:type="dxa"/>
            </w:tcMar>
            <w:vAlign w:val="center"/>
          </w:tcPr>
          <w:p>
            <w:pPr>
              <w:adjustRightInd w:val="0"/>
              <w:snapToGrid w:val="0"/>
              <w:jc w:val="center"/>
              <w:rPr>
                <w:b/>
                <w:sz w:val="24"/>
                <w:szCs w:val="24"/>
              </w:rPr>
            </w:pPr>
            <w:r>
              <w:rPr>
                <w:b/>
                <w:sz w:val="24"/>
                <w:szCs w:val="24"/>
              </w:rPr>
              <w:t>七</w:t>
            </w:r>
            <w:r>
              <w:rPr>
                <w:rFonts w:hint="eastAsia"/>
                <w:b/>
                <w:sz w:val="24"/>
                <w:szCs w:val="24"/>
              </w:rPr>
              <w:t>、</w:t>
            </w:r>
            <w:r>
              <w:rPr>
                <w:b/>
                <w:sz w:val="24"/>
                <w:szCs w:val="24"/>
              </w:rPr>
              <w:t>情绪调节训练区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eastAsia="宋体" w:cs="Times New Roman"/>
                <w:kern w:val="0"/>
                <w:szCs w:val="21"/>
              </w:rPr>
              <w:t>沙盘游戏设备（普及版）</w:t>
            </w:r>
          </w:p>
        </w:tc>
        <w:tc>
          <w:tcPr>
            <w:tcW w:w="8255" w:type="dxa"/>
            <w:tcMar>
              <w:top w:w="15" w:type="dxa"/>
              <w:left w:w="15" w:type="dxa"/>
              <w:right w:w="15" w:type="dxa"/>
            </w:tcMar>
            <w:vAlign w:val="center"/>
          </w:tcPr>
          <w:p>
            <w:pPr>
              <w:rPr>
                <w:rFonts w:ascii="宋体" w:hAnsi="宋体" w:eastAsia="宋体" w:cs="Times New Roman"/>
                <w:kern w:val="0"/>
                <w:szCs w:val="21"/>
              </w:rPr>
            </w:pPr>
            <w:r>
              <w:rPr>
                <w:rFonts w:hint="eastAsia" w:ascii="宋体" w:hAnsi="宋体" w:eastAsia="宋体" w:cs="Times New Roman"/>
                <w:kern w:val="0"/>
                <w:szCs w:val="21"/>
              </w:rPr>
              <w:t xml:space="preserve">一、纯木制沙盘：                                                                                     </w:t>
            </w:r>
          </w:p>
          <w:p>
            <w:pPr>
              <w:rPr>
                <w:rFonts w:ascii="宋体" w:hAnsi="宋体" w:eastAsia="宋体" w:cs="Times New Roman"/>
                <w:kern w:val="0"/>
                <w:szCs w:val="21"/>
              </w:rPr>
            </w:pPr>
            <w:r>
              <w:rPr>
                <w:rFonts w:hint="eastAsia" w:ascii="宋体" w:hAnsi="宋体" w:eastAsia="宋体" w:cs="Times New Roman"/>
                <w:kern w:val="0"/>
                <w:szCs w:val="21"/>
              </w:rPr>
              <w:t>标准沙盘：1个；内侧尺寸：长72cm×宽57cm×高7cm（国际标准尺寸），外侧尺寸：长7</w:t>
            </w:r>
            <w:r>
              <w:rPr>
                <w:rFonts w:ascii="宋体" w:hAnsi="宋体" w:eastAsia="宋体" w:cs="Times New Roman"/>
                <w:kern w:val="0"/>
                <w:szCs w:val="21"/>
              </w:rPr>
              <w:t>6</w:t>
            </w:r>
            <w:r>
              <w:rPr>
                <w:rFonts w:hint="eastAsia" w:ascii="宋体" w:hAnsi="宋体" w:eastAsia="宋体" w:cs="Times New Roman"/>
                <w:kern w:val="0"/>
                <w:szCs w:val="21"/>
              </w:rPr>
              <w:t>cm×宽</w:t>
            </w:r>
            <w:r>
              <w:rPr>
                <w:rFonts w:ascii="宋体" w:hAnsi="宋体" w:eastAsia="宋体" w:cs="Times New Roman"/>
                <w:kern w:val="0"/>
                <w:szCs w:val="21"/>
              </w:rPr>
              <w:t>61</w:t>
            </w:r>
            <w:r>
              <w:rPr>
                <w:rFonts w:hint="eastAsia" w:ascii="宋体" w:hAnsi="宋体" w:eastAsia="宋体" w:cs="Times New Roman"/>
                <w:kern w:val="0"/>
                <w:szCs w:val="21"/>
              </w:rPr>
              <w:t>cm×高</w:t>
            </w:r>
            <w:r>
              <w:rPr>
                <w:rFonts w:ascii="宋体" w:hAnsi="宋体" w:eastAsia="宋体" w:cs="Times New Roman"/>
                <w:kern w:val="0"/>
                <w:szCs w:val="21"/>
              </w:rPr>
              <w:t>10</w:t>
            </w:r>
            <w:r>
              <w:rPr>
                <w:rFonts w:hint="eastAsia" w:ascii="宋体" w:hAnsi="宋体" w:eastAsia="宋体" w:cs="Times New Roman"/>
                <w:kern w:val="0"/>
                <w:szCs w:val="21"/>
              </w:rPr>
              <w:t>cm；颜色：外侧自然木纹色，内侧蓝色；材质：纯东北松木木质，实木材质。</w:t>
            </w:r>
          </w:p>
          <w:p>
            <w:pPr>
              <w:rPr>
                <w:rFonts w:ascii="宋体" w:hAnsi="宋体" w:eastAsia="宋体" w:cs="Times New Roman"/>
                <w:kern w:val="0"/>
                <w:szCs w:val="21"/>
              </w:rPr>
            </w:pPr>
            <w:r>
              <w:rPr>
                <w:rFonts w:hint="eastAsia" w:ascii="宋体" w:hAnsi="宋体" w:eastAsia="宋体" w:cs="Times New Roman"/>
                <w:kern w:val="0"/>
                <w:szCs w:val="21"/>
              </w:rPr>
              <w:t>二、沙具柜</w:t>
            </w:r>
          </w:p>
          <w:p>
            <w:pPr>
              <w:rPr>
                <w:rFonts w:ascii="宋体" w:hAnsi="宋体" w:eastAsia="宋体" w:cs="Times New Roman"/>
                <w:kern w:val="0"/>
                <w:szCs w:val="21"/>
              </w:rPr>
            </w:pPr>
            <w:r>
              <w:rPr>
                <w:rFonts w:hint="eastAsia" w:ascii="宋体" w:hAnsi="宋体" w:eastAsia="宋体" w:cs="Times New Roman"/>
                <w:kern w:val="0"/>
                <w:szCs w:val="21"/>
              </w:rPr>
              <w:t>数量：</w:t>
            </w:r>
            <w:r>
              <w:rPr>
                <w:rFonts w:ascii="宋体" w:hAnsi="宋体" w:eastAsia="宋体" w:cs="Times New Roman"/>
                <w:kern w:val="0"/>
                <w:szCs w:val="21"/>
              </w:rPr>
              <w:t>2</w:t>
            </w:r>
            <w:r>
              <w:rPr>
                <w:rFonts w:hint="eastAsia" w:ascii="宋体" w:hAnsi="宋体" w:eastAsia="宋体" w:cs="Times New Roman"/>
                <w:kern w:val="0"/>
                <w:szCs w:val="21"/>
              </w:rPr>
              <w:t>个；尺寸：长120cm×宽30cm×高160cm；样式：柜内每层专设摆放沙具台阶一个，共5层，10阶；颜色：自然木纹色 ；材质：纯东北松木木质，实木材质。</w:t>
            </w:r>
          </w:p>
          <w:p>
            <w:pPr>
              <w:rPr>
                <w:rFonts w:ascii="宋体" w:hAnsi="宋体" w:eastAsia="宋体" w:cs="Times New Roman"/>
                <w:kern w:val="0"/>
                <w:szCs w:val="21"/>
              </w:rPr>
            </w:pPr>
            <w:r>
              <w:rPr>
                <w:rFonts w:hint="eastAsia" w:ascii="宋体" w:hAnsi="宋体" w:eastAsia="宋体" w:cs="Times New Roman"/>
                <w:kern w:val="0"/>
                <w:szCs w:val="21"/>
              </w:rPr>
              <w:t>三、沙盘桌</w:t>
            </w:r>
          </w:p>
          <w:p>
            <w:pPr>
              <w:rPr>
                <w:rFonts w:ascii="宋体" w:hAnsi="宋体" w:eastAsia="宋体" w:cs="Times New Roman"/>
                <w:kern w:val="0"/>
                <w:szCs w:val="21"/>
              </w:rPr>
            </w:pPr>
            <w:r>
              <w:rPr>
                <w:rFonts w:hint="eastAsia" w:ascii="宋体" w:hAnsi="宋体" w:eastAsia="宋体" w:cs="Times New Roman"/>
                <w:kern w:val="0"/>
                <w:szCs w:val="21"/>
              </w:rPr>
              <w:t>标准沙桌：</w:t>
            </w:r>
            <w:r>
              <w:rPr>
                <w:rFonts w:ascii="宋体" w:hAnsi="宋体" w:eastAsia="宋体" w:cs="Times New Roman"/>
                <w:kern w:val="0"/>
                <w:szCs w:val="21"/>
              </w:rPr>
              <w:t>1</w:t>
            </w:r>
            <w:r>
              <w:rPr>
                <w:rFonts w:hint="eastAsia" w:ascii="宋体" w:hAnsi="宋体" w:eastAsia="宋体" w:cs="Times New Roman"/>
                <w:kern w:val="0"/>
                <w:szCs w:val="21"/>
              </w:rPr>
              <w:t>个；尺寸：长76cm×宽6</w:t>
            </w:r>
            <w:r>
              <w:rPr>
                <w:rFonts w:ascii="宋体" w:hAnsi="宋体" w:eastAsia="宋体" w:cs="Times New Roman"/>
                <w:kern w:val="0"/>
                <w:szCs w:val="21"/>
              </w:rPr>
              <w:t>0</w:t>
            </w:r>
            <w:r>
              <w:rPr>
                <w:rFonts w:hint="eastAsia" w:ascii="宋体" w:hAnsi="宋体" w:eastAsia="宋体" w:cs="Times New Roman"/>
                <w:kern w:val="0"/>
                <w:szCs w:val="21"/>
              </w:rPr>
              <w:t>cm×高61cm；颜色：自然木纹色；材质：纯东北松木木质，实木材质。</w:t>
            </w:r>
          </w:p>
          <w:p>
            <w:pPr>
              <w:rPr>
                <w:rFonts w:ascii="宋体" w:hAnsi="宋体" w:eastAsia="宋体" w:cs="Times New Roman"/>
                <w:kern w:val="0"/>
                <w:szCs w:val="21"/>
              </w:rPr>
            </w:pPr>
            <w:r>
              <w:rPr>
                <w:rFonts w:hint="eastAsia" w:ascii="宋体" w:hAnsi="宋体" w:eastAsia="宋体" w:cs="Times New Roman"/>
                <w:kern w:val="0"/>
                <w:szCs w:val="21"/>
              </w:rPr>
              <w:t>四、沙具</w:t>
            </w:r>
          </w:p>
          <w:p>
            <w:pPr>
              <w:rPr>
                <w:rFonts w:ascii="宋体" w:hAnsi="宋体" w:eastAsia="宋体" w:cs="Times New Roman"/>
                <w:kern w:val="0"/>
                <w:szCs w:val="21"/>
              </w:rPr>
            </w:pPr>
            <w:r>
              <w:rPr>
                <w:rFonts w:hint="eastAsia" w:ascii="宋体" w:hAnsi="宋体" w:eastAsia="宋体" w:cs="Times New Roman"/>
                <w:kern w:val="0"/>
                <w:szCs w:val="21"/>
              </w:rPr>
              <w:t>包括15大类54小类；数量是：1</w:t>
            </w:r>
            <w:r>
              <w:rPr>
                <w:rFonts w:ascii="宋体" w:hAnsi="宋体" w:eastAsia="宋体" w:cs="Times New Roman"/>
                <w:kern w:val="0"/>
                <w:szCs w:val="21"/>
              </w:rPr>
              <w:t>0</w:t>
            </w:r>
            <w:r>
              <w:rPr>
                <w:rFonts w:hint="eastAsia" w:ascii="宋体" w:hAnsi="宋体" w:eastAsia="宋体" w:cs="Times New Roman"/>
                <w:kern w:val="0"/>
                <w:szCs w:val="21"/>
              </w:rPr>
              <w:t>00件（原创性沙具意象组合，内含专业原型结构）。</w:t>
            </w:r>
          </w:p>
          <w:p>
            <w:pPr>
              <w:rPr>
                <w:rFonts w:ascii="宋体" w:hAnsi="宋体" w:eastAsia="宋体" w:cs="Times New Roman"/>
                <w:kern w:val="0"/>
                <w:szCs w:val="21"/>
              </w:rPr>
            </w:pPr>
            <w:r>
              <w:rPr>
                <w:rFonts w:ascii="宋体" w:hAnsi="宋体" w:eastAsia="宋体" w:cs="Times New Roman"/>
                <w:kern w:val="0"/>
                <w:szCs w:val="21"/>
              </w:rPr>
              <w:t>15</w:t>
            </w:r>
            <w:r>
              <w:rPr>
                <w:rFonts w:hint="eastAsia" w:ascii="宋体" w:hAnsi="宋体" w:eastAsia="宋体" w:cs="Times New Roman"/>
                <w:kern w:val="0"/>
                <w:szCs w:val="21"/>
              </w:rPr>
              <w:t>大类</w:t>
            </w:r>
            <w:r>
              <w:rPr>
                <w:rFonts w:ascii="宋体" w:hAnsi="宋体" w:eastAsia="宋体" w:cs="Times New Roman"/>
                <w:kern w:val="0"/>
                <w:szCs w:val="21"/>
              </w:rPr>
              <w:t>包括：</w:t>
            </w:r>
          </w:p>
          <w:p>
            <w:pPr>
              <w:rPr>
                <w:rFonts w:ascii="宋体" w:hAnsi="宋体" w:eastAsia="宋体" w:cs="Times New Roman"/>
                <w:kern w:val="0"/>
                <w:szCs w:val="21"/>
              </w:rPr>
            </w:pPr>
            <w:r>
              <w:rPr>
                <w:rFonts w:hint="eastAsia" w:ascii="宋体" w:hAnsi="宋体" w:eastAsia="宋体" w:cs="Times New Roman"/>
                <w:kern w:val="0"/>
                <w:szCs w:val="21"/>
              </w:rPr>
              <w:t>1、人物类；2、宗教类；3、死亡类；4、文体类；5、食物类；6、家居类；7、交通类；8、军事类； 9、建筑类；10、动物类；11、植物类；12、自然物类；13、名胜古迹类；14、颜色形状类；15、数字方位类。</w:t>
            </w:r>
          </w:p>
          <w:p>
            <w:pPr>
              <w:rPr>
                <w:rFonts w:ascii="宋体" w:hAnsi="宋体" w:eastAsia="宋体" w:cs="Times New Roman"/>
                <w:kern w:val="0"/>
                <w:szCs w:val="21"/>
              </w:rPr>
            </w:pPr>
            <w:r>
              <w:rPr>
                <w:rFonts w:hint="eastAsia" w:ascii="宋体" w:hAnsi="宋体" w:eastAsia="宋体" w:cs="Times New Roman"/>
                <w:kern w:val="0"/>
                <w:szCs w:val="21"/>
              </w:rPr>
              <w:t>五、相关配套工具：纯天然细沙（经</w:t>
            </w:r>
            <w:r>
              <w:rPr>
                <w:rFonts w:ascii="宋体" w:hAnsi="宋体" w:eastAsia="宋体" w:cs="Times New Roman"/>
                <w:kern w:val="0"/>
                <w:szCs w:val="21"/>
              </w:rPr>
              <w:t>洗晒消毒处理）</w:t>
            </w:r>
            <w:r>
              <w:rPr>
                <w:rFonts w:hint="eastAsia" w:ascii="宋体" w:hAnsi="宋体" w:eastAsia="宋体" w:cs="Times New Roman"/>
                <w:kern w:val="0"/>
                <w:szCs w:val="21"/>
              </w:rPr>
              <w:t>：</w:t>
            </w:r>
            <w:r>
              <w:rPr>
                <w:rFonts w:ascii="宋体" w:hAnsi="宋体" w:eastAsia="宋体" w:cs="Times New Roman"/>
                <w:kern w:val="0"/>
                <w:szCs w:val="21"/>
              </w:rPr>
              <w:t>1</w:t>
            </w:r>
            <w:r>
              <w:rPr>
                <w:rFonts w:hint="eastAsia" w:ascii="宋体" w:hAnsi="宋体" w:eastAsia="宋体" w:cs="Times New Roman"/>
                <w:kern w:val="0"/>
                <w:szCs w:val="21"/>
              </w:rPr>
              <w:t>袋</w:t>
            </w:r>
            <w:r>
              <w:rPr>
                <w:rFonts w:ascii="宋体" w:hAnsi="宋体" w:eastAsia="宋体" w:cs="Times New Roman"/>
                <w:kern w:val="0"/>
                <w:szCs w:val="21"/>
              </w:rPr>
              <w:t>（</w:t>
            </w:r>
            <w:r>
              <w:rPr>
                <w:rFonts w:hint="eastAsia" w:ascii="宋体" w:hAnsi="宋体" w:eastAsia="宋体" w:cs="Times New Roman"/>
                <w:kern w:val="0"/>
                <w:szCs w:val="21"/>
              </w:rPr>
              <w:t>5公斤/袋</w:t>
            </w:r>
            <w:r>
              <w:rPr>
                <w:rFonts w:ascii="宋体" w:hAnsi="宋体" w:eastAsia="宋体" w:cs="Times New Roman"/>
                <w:kern w:val="0"/>
                <w:szCs w:val="21"/>
              </w:rPr>
              <w:t>）</w:t>
            </w:r>
            <w:r>
              <w:rPr>
                <w:rFonts w:hint="eastAsia" w:ascii="宋体" w:hAnsi="宋体" w:eastAsia="宋体" w:cs="Times New Roman"/>
                <w:kern w:val="0"/>
                <w:szCs w:val="21"/>
              </w:rPr>
              <w:t>；沙刷</w:t>
            </w:r>
            <w:r>
              <w:rPr>
                <w:rFonts w:ascii="宋体" w:hAnsi="宋体" w:eastAsia="宋体" w:cs="Times New Roman"/>
                <w:kern w:val="0"/>
                <w:szCs w:val="21"/>
              </w:rPr>
              <w:t>1</w:t>
            </w:r>
            <w:r>
              <w:rPr>
                <w:rFonts w:hint="eastAsia" w:ascii="宋体" w:hAnsi="宋体" w:eastAsia="宋体" w:cs="Times New Roman"/>
                <w:kern w:val="0"/>
                <w:szCs w:val="21"/>
              </w:rPr>
              <w:t>个；沙耙1个；沙具百宝箱1个；CCTV心理访谈典型案例光盘</w:t>
            </w:r>
            <w:r>
              <w:rPr>
                <w:rFonts w:ascii="宋体" w:hAnsi="宋体" w:eastAsia="宋体" w:cs="Times New Roman"/>
                <w:kern w:val="0"/>
                <w:szCs w:val="21"/>
              </w:rPr>
              <w:t>1</w:t>
            </w:r>
            <w:r>
              <w:rPr>
                <w:rFonts w:hint="eastAsia" w:ascii="宋体" w:hAnsi="宋体" w:eastAsia="宋体" w:cs="Times New Roman"/>
                <w:kern w:val="0"/>
                <w:szCs w:val="21"/>
              </w:rPr>
              <w:t>张；专业教材：《荣格与分析心理学》、《沙盘游戏疗法》等专业教材</w:t>
            </w:r>
            <w:r>
              <w:rPr>
                <w:rFonts w:ascii="宋体" w:hAnsi="宋体" w:eastAsia="宋体" w:cs="Times New Roman"/>
                <w:kern w:val="0"/>
                <w:szCs w:val="21"/>
              </w:rPr>
              <w:t>2</w:t>
            </w:r>
            <w:r>
              <w:rPr>
                <w:rFonts w:hint="eastAsia" w:ascii="宋体" w:hAnsi="宋体" w:eastAsia="宋体" w:cs="Times New Roman"/>
                <w:kern w:val="0"/>
                <w:szCs w:val="21"/>
              </w:rPr>
              <w:t>本；个体沙盘游戏记录手册</w:t>
            </w:r>
            <w:r>
              <w:rPr>
                <w:rFonts w:ascii="宋体" w:hAnsi="宋体" w:eastAsia="宋体" w:cs="Times New Roman"/>
                <w:kern w:val="0"/>
                <w:szCs w:val="21"/>
              </w:rPr>
              <w:t>2</w:t>
            </w:r>
            <w:r>
              <w:rPr>
                <w:rFonts w:hint="eastAsia" w:ascii="宋体" w:hAnsi="宋体" w:eastAsia="宋体" w:cs="Times New Roman"/>
                <w:kern w:val="0"/>
                <w:szCs w:val="21"/>
              </w:rPr>
              <w:t>本，团体沙盘游戏记录手册</w:t>
            </w:r>
            <w:r>
              <w:rPr>
                <w:rFonts w:ascii="宋体" w:hAnsi="宋体" w:eastAsia="宋体" w:cs="Times New Roman"/>
                <w:kern w:val="0"/>
                <w:szCs w:val="21"/>
              </w:rPr>
              <w:t>2</w:t>
            </w:r>
            <w:r>
              <w:rPr>
                <w:rFonts w:hint="eastAsia" w:ascii="宋体" w:hAnsi="宋体" w:eastAsia="宋体" w:cs="Times New Roman"/>
                <w:kern w:val="0"/>
                <w:szCs w:val="21"/>
              </w:rPr>
              <w:t>本。</w:t>
            </w:r>
          </w:p>
          <w:p>
            <w:pPr>
              <w:rPr>
                <w:rFonts w:ascii="宋体" w:hAnsi="宋体" w:eastAsia="宋体" w:cs="Times New Roman"/>
                <w:b/>
                <w:bCs/>
                <w:kern w:val="0"/>
                <w:szCs w:val="21"/>
              </w:rPr>
            </w:pPr>
            <w:r>
              <w:rPr>
                <w:rFonts w:hint="eastAsia" w:ascii="宋体" w:hAnsi="宋体" w:eastAsia="宋体" w:cs="Times New Roman"/>
                <w:b/>
                <w:bCs/>
                <w:kern w:val="0"/>
                <w:szCs w:val="21"/>
              </w:rPr>
              <w:t>软件具有国家版权局颁发的软件著作权登记证书。</w:t>
            </w:r>
          </w:p>
          <w:p>
            <w:pPr>
              <w:tabs>
                <w:tab w:val="left" w:pos="1800"/>
                <w:tab w:val="left" w:pos="5580"/>
              </w:tabs>
              <w:rPr>
                <w:rFonts w:ascii="宋体" w:hAnsi="宋体" w:eastAsia="宋体" w:cs="Times New Roman"/>
                <w:kern w:val="0"/>
                <w:szCs w:val="21"/>
              </w:rPr>
            </w:pPr>
            <w:r>
              <w:rPr>
                <w:rFonts w:hint="eastAsia" w:ascii="宋体" w:hAnsi="宋体" w:eastAsia="宋体" w:cs="Times New Roman"/>
                <w:b/>
                <w:bCs/>
                <w:iCs/>
                <w:kern w:val="0"/>
                <w:szCs w:val="21"/>
              </w:rPr>
              <w:t>软件具有省级或国家级检测机构出具的软件产品登记测试报告。</w:t>
            </w:r>
          </w:p>
          <w:p>
            <w:pPr>
              <w:rPr>
                <w:rFonts w:ascii="宋体" w:hAnsi="宋体" w:eastAsia="宋体" w:cs="Times New Roman"/>
                <w:color w:val="000000"/>
                <w:kern w:val="0"/>
                <w:szCs w:val="21"/>
              </w:rPr>
            </w:pPr>
            <w:r>
              <w:rPr>
                <w:rFonts w:hint="eastAsia" w:ascii="宋体" w:hAnsi="宋体" w:eastAsia="宋体" w:cs="Times New Roman"/>
                <w:color w:val="000000"/>
                <w:kern w:val="0"/>
                <w:szCs w:val="21"/>
              </w:rPr>
              <w:t>原型意象查询与沙盘游戏管理系统</w:t>
            </w:r>
            <w:r>
              <w:rPr>
                <w:rFonts w:hint="eastAsia" w:ascii="宋体" w:hAnsi="宋体" w:eastAsia="宋体" w:cs="Times New Roman"/>
                <w:kern w:val="0"/>
                <w:szCs w:val="21"/>
              </w:rPr>
              <w:t>为教师应用沙盘游戏设备进行心理咨询的辅助性工具。主要功能有：</w:t>
            </w:r>
          </w:p>
          <w:p>
            <w:pPr>
              <w:rPr>
                <w:rFonts w:ascii="宋体" w:hAnsi="宋体" w:eastAsia="宋体" w:cs="Times New Roman"/>
                <w:kern w:val="0"/>
                <w:szCs w:val="21"/>
              </w:rPr>
            </w:pPr>
            <w:r>
              <w:rPr>
                <w:rFonts w:hint="eastAsia" w:ascii="宋体" w:hAnsi="宋体" w:eastAsia="宋体" w:cs="Times New Roman"/>
                <w:kern w:val="0"/>
                <w:szCs w:val="21"/>
              </w:rPr>
              <w:t>1、功能模块：平台集综合管理功能模块于一体，包含：个体记录、团体记录、用户管理、分析帮助、设备管理、学习资源、查看附件等。</w:t>
            </w:r>
          </w:p>
          <w:p>
            <w:pPr>
              <w:rPr>
                <w:rFonts w:ascii="宋体" w:hAnsi="宋体" w:eastAsia="宋体" w:cs="Times New Roman"/>
                <w:kern w:val="0"/>
                <w:szCs w:val="21"/>
              </w:rPr>
            </w:pPr>
            <w:r>
              <w:rPr>
                <w:rFonts w:hint="eastAsia" w:ascii="宋体" w:hAnsi="宋体" w:eastAsia="宋体" w:cs="Times New Roman"/>
                <w:kern w:val="0"/>
                <w:szCs w:val="21"/>
              </w:rPr>
              <w:t>2、档案管理：系统可记录操作者人口学信息包括姓名、性别、年龄、民族、籍贯等个人信息，为治疗师提供准确详细的分析信息。</w:t>
            </w:r>
          </w:p>
          <w:p>
            <w:pPr>
              <w:rPr>
                <w:rFonts w:ascii="宋体" w:hAnsi="宋体" w:eastAsia="宋体" w:cs="Times New Roman"/>
                <w:kern w:val="0"/>
                <w:szCs w:val="21"/>
              </w:rPr>
            </w:pPr>
            <w:r>
              <w:rPr>
                <w:rFonts w:hint="eastAsia" w:ascii="宋体" w:hAnsi="宋体" w:eastAsia="宋体" w:cs="Times New Roman"/>
                <w:kern w:val="0"/>
                <w:szCs w:val="21"/>
              </w:rPr>
              <w:t>3、个体记录：操作者可在个体记录中直接编写当前状态下游戏治疗信息，并可在操作现场直接利用系统搭载平台摄像头拍摄图片或视频上传于个体记录中。</w:t>
            </w:r>
          </w:p>
          <w:p>
            <w:pPr>
              <w:rPr>
                <w:rFonts w:ascii="宋体" w:hAnsi="宋体" w:eastAsia="宋体" w:cs="Times New Roman"/>
                <w:kern w:val="0"/>
                <w:szCs w:val="21"/>
              </w:rPr>
            </w:pPr>
            <w:r>
              <w:rPr>
                <w:rFonts w:hint="eastAsia" w:ascii="宋体" w:hAnsi="宋体" w:eastAsia="宋体" w:cs="Times New Roman"/>
                <w:kern w:val="0"/>
                <w:szCs w:val="21"/>
              </w:rPr>
              <w:t>4、监测功能：系统可实时监测来访者操作过程中的目光注视，面部表情，肢体动作，身体语言，声音特质，空间距离，操作流程，情绪状态等细节，方便心理治疗师进行观察，真正了解来访者的内心活动，加强咨询功能。</w:t>
            </w:r>
          </w:p>
          <w:p>
            <w:pPr>
              <w:rPr>
                <w:rFonts w:ascii="宋体" w:hAnsi="宋体" w:eastAsia="宋体" w:cs="Times New Roman"/>
                <w:kern w:val="0"/>
                <w:szCs w:val="21"/>
              </w:rPr>
            </w:pPr>
            <w:r>
              <w:rPr>
                <w:rFonts w:hint="eastAsia" w:ascii="宋体" w:hAnsi="宋体" w:eastAsia="宋体" w:cs="Times New Roman"/>
                <w:kern w:val="0"/>
                <w:szCs w:val="21"/>
              </w:rPr>
              <w:t>5、开放式平台：可通过其他外部设备摄制相关资料上传于该系统；同一操作者再次使用该系统时可在原记录信息上再次添加操作记录即可，方便管理员查看与对比使用者多次使用情况，管理员可通过操作系统直接拍摄现场视频或图片直接记录于系统中，也可以上传其它途径的图片或视频文件；方便治疗师进行前后对比，数据分析，成长记录，增强治疗效果等。</w:t>
            </w:r>
          </w:p>
          <w:p>
            <w:pPr>
              <w:rPr>
                <w:rFonts w:ascii="宋体" w:hAnsi="宋体" w:eastAsia="宋体" w:cs="Times New Roman"/>
                <w:kern w:val="0"/>
                <w:szCs w:val="21"/>
              </w:rPr>
            </w:pPr>
            <w:r>
              <w:rPr>
                <w:rFonts w:hint="eastAsia" w:ascii="宋体" w:hAnsi="宋体" w:eastAsia="宋体" w:cs="Times New Roman"/>
                <w:kern w:val="0"/>
                <w:szCs w:val="21"/>
              </w:rPr>
              <w:t>6、团体记录: 系统可以添加团体活动主题、活动人数、活动地点、活动时间，记录当前背景信息，供后期做数据分析和对比，同时也可以对已完成的操作记录记录进行删除。</w:t>
            </w:r>
          </w:p>
          <w:p>
            <w:pPr>
              <w:rPr>
                <w:rFonts w:ascii="宋体" w:hAnsi="宋体" w:eastAsia="宋体" w:cs="Times New Roman"/>
                <w:kern w:val="0"/>
                <w:szCs w:val="21"/>
              </w:rPr>
            </w:pPr>
            <w:r>
              <w:rPr>
                <w:rFonts w:hint="eastAsia" w:ascii="宋体" w:hAnsi="宋体" w:eastAsia="宋体" w:cs="Times New Roman"/>
                <w:kern w:val="0"/>
                <w:szCs w:val="21"/>
              </w:rPr>
              <w:t>7、分析帮助：系统自带专业角色意向寓意解析，管理员可自行添加和删除角色意向寓意分析，系统可通过检索查找对应角色寓意解析，</w:t>
            </w:r>
          </w:p>
          <w:p>
            <w:pPr>
              <w:rPr>
                <w:rFonts w:ascii="宋体" w:hAnsi="宋体" w:eastAsia="宋体" w:cs="Times New Roman"/>
                <w:kern w:val="0"/>
                <w:szCs w:val="21"/>
              </w:rPr>
            </w:pPr>
            <w:r>
              <w:rPr>
                <w:rFonts w:hint="eastAsia" w:ascii="宋体" w:hAnsi="宋体" w:eastAsia="宋体" w:cs="Times New Roman"/>
                <w:kern w:val="0"/>
                <w:szCs w:val="21"/>
              </w:rPr>
              <w:t>8、设备管理：管理员可以通过设备管理模块添加设备具体数量，并且根据消耗情况及时修改，方便管理员直接掌握和统计所有角色模型对应的数量及消耗情况。</w:t>
            </w:r>
          </w:p>
          <w:p>
            <w:pPr>
              <w:rPr>
                <w:rFonts w:ascii="宋体" w:hAnsi="宋体" w:eastAsia="宋体" w:cs="Times New Roman"/>
                <w:kern w:val="0"/>
                <w:szCs w:val="21"/>
              </w:rPr>
            </w:pPr>
            <w:r>
              <w:rPr>
                <w:rFonts w:hint="eastAsia" w:ascii="宋体" w:hAnsi="宋体" w:eastAsia="宋体" w:cs="Times New Roman"/>
                <w:kern w:val="0"/>
                <w:szCs w:val="21"/>
              </w:rPr>
              <w:t>9、学习资源：管理员可以上传各种心理学相关学习资料，学习资源库中的心理学内容资源不受网络限制，资源支持PPT、word、PDF、视频等内容格式，学习资源内容包括：心理文章500篇，名人励志心理格言500句，50名国际知名心理学专家简介，中小学心理健康课件50篇，心理知识可自主上传，更有针对性，方便用户了解与学习撑握心理键康知识，提升心理键康水平。</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rPr>
                <w:rFonts w:ascii="宋体" w:hAnsi="宋体" w:eastAsia="宋体" w:cs="Times New Roman"/>
                <w:kern w:val="0"/>
                <w:sz w:val="20"/>
                <w:szCs w:val="21"/>
              </w:rPr>
            </w:pPr>
          </w:p>
          <w:p>
            <w:pPr>
              <w:adjustRightInd w:val="0"/>
              <w:snapToGrid w:val="0"/>
              <w:jc w:val="left"/>
              <w:rPr>
                <w:rFonts w:ascii="宋体" w:hAnsi="宋体" w:eastAsia="宋体" w:cs="Times New Roman"/>
                <w:kern w:val="0"/>
                <w:sz w:val="20"/>
                <w:szCs w:val="21"/>
              </w:rPr>
            </w:pPr>
            <w:r>
              <w:rPr>
                <w:rFonts w:ascii="宋体" w:hAnsi="宋体" w:eastAsia="宋体" w:cs="Times New Roman"/>
                <w:kern w:val="0"/>
                <w:sz w:val="20"/>
                <w:szCs w:val="21"/>
              </w:rPr>
              <w:drawing>
                <wp:inline distT="0" distB="0" distL="0" distR="0">
                  <wp:extent cx="1169670" cy="1087755"/>
                  <wp:effectExtent l="0" t="0" r="1143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8"/>
                          <a:stretch>
                            <a:fillRect/>
                          </a:stretch>
                        </pic:blipFill>
                        <pic:spPr>
                          <a:xfrm>
                            <a:off x="0" y="0"/>
                            <a:ext cx="1169670" cy="1087755"/>
                          </a:xfrm>
                          <a:prstGeom prst="rect">
                            <a:avLst/>
                          </a:prstGeom>
                        </pic:spPr>
                      </pic:pic>
                    </a:graphicData>
                  </a:graphic>
                </wp:inline>
              </w:drawing>
            </w:r>
          </w:p>
          <w:p>
            <w:pPr>
              <w:adjustRightInd w:val="0"/>
              <w:snapToGrid w:val="0"/>
              <w:jc w:val="left"/>
              <w:rPr>
                <w:rFonts w:ascii="宋体" w:hAnsi="宋体" w:eastAsia="宋体" w:cs="Times New Roman"/>
                <w:kern w:val="0"/>
                <w:sz w:val="20"/>
                <w:szCs w:val="21"/>
              </w:rPr>
            </w:pPr>
          </w:p>
          <w:p>
            <w:pPr>
              <w:adjustRightInd w:val="0"/>
              <w:snapToGrid w:val="0"/>
              <w:jc w:val="left"/>
              <w:rPr>
                <w:rFonts w:ascii="宋体" w:hAnsi="宋体" w:eastAsia="宋体" w:cs="Times New Roman"/>
                <w:kern w:val="0"/>
                <w:sz w:val="20"/>
                <w:szCs w:val="21"/>
              </w:rPr>
            </w:pPr>
            <w:r>
              <w:rPr>
                <w:rFonts w:ascii="宋体" w:hAnsi="宋体" w:eastAsia="宋体" w:cs="Times New Roman"/>
                <w:kern w:val="0"/>
                <w:sz w:val="20"/>
                <w:szCs w:val="21"/>
              </w:rPr>
              <w:drawing>
                <wp:inline distT="0" distB="0" distL="0" distR="0">
                  <wp:extent cx="1209675" cy="1685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9"/>
                          <a:stretch>
                            <a:fillRect/>
                          </a:stretch>
                        </pic:blipFill>
                        <pic:spPr>
                          <a:xfrm>
                            <a:off x="0" y="0"/>
                            <a:ext cx="1211309" cy="168805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2</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eastAsia="宋体" w:cs="Times New Roman"/>
                <w:kern w:val="0"/>
                <w:szCs w:val="21"/>
              </w:rPr>
            </w:pPr>
            <w:r>
              <w:rPr>
                <w:rFonts w:hint="eastAsia" w:ascii="宋体" w:hAnsi="宋体" w:eastAsia="宋体" w:cs="Times New Roman"/>
                <w:kern w:val="0"/>
                <w:szCs w:val="21"/>
              </w:rPr>
              <w:t>情绪调节仪</w:t>
            </w:r>
          </w:p>
        </w:tc>
        <w:tc>
          <w:tcPr>
            <w:tcW w:w="8255" w:type="dxa"/>
            <w:tcMar>
              <w:top w:w="15" w:type="dxa"/>
              <w:left w:w="15" w:type="dxa"/>
              <w:right w:w="15" w:type="dxa"/>
            </w:tcMar>
            <w:vAlign w:val="center"/>
          </w:tcPr>
          <w:p>
            <w:pPr>
              <w:rPr>
                <w:rFonts w:ascii="宋体" w:hAnsi="宋体" w:eastAsia="宋体" w:cs="Times New Roman"/>
                <w:kern w:val="0"/>
                <w:szCs w:val="21"/>
              </w:rPr>
            </w:pPr>
            <w:r>
              <w:rPr>
                <w:rFonts w:hint="eastAsia" w:ascii="宋体" w:hAnsi="宋体" w:eastAsia="宋体" w:cs="Times New Roman"/>
                <w:kern w:val="0"/>
                <w:szCs w:val="21"/>
              </w:rPr>
              <w:t>1.硬件：高科技的生物反馈芯片传感器——采集并处理心率信号；采集人体的心率变异信号（HRV），通过USB接口将受测者的每一秒的心率变化、交感神经、副交感神经活动频谱变化、压力指数等生理信号传输到电脑终端。</w:t>
            </w:r>
          </w:p>
          <w:p>
            <w:pPr>
              <w:rPr>
                <w:rFonts w:ascii="宋体" w:hAnsi="宋体" w:eastAsia="宋体" w:cs="Times New Roman"/>
                <w:kern w:val="0"/>
                <w:szCs w:val="21"/>
              </w:rPr>
            </w:pPr>
            <w:r>
              <w:rPr>
                <w:rFonts w:hint="eastAsia" w:ascii="宋体" w:hAnsi="宋体" w:eastAsia="宋体" w:cs="Times New Roman"/>
                <w:kern w:val="0"/>
                <w:szCs w:val="21"/>
              </w:rPr>
              <w:t>2.监测系统 ：精确敏感的HRV监测系统——监控压力与情绪。3.训练系统：通过直观可视化的多款训练游戏，在注意力集中、挫折挑战、放松等方面进行针对性训练,新颖独特的游戏训练方式让你在轻松愉快中完成情绪管理和心理调节。</w:t>
            </w:r>
          </w:p>
          <w:p>
            <w:pPr>
              <w:rPr>
                <w:rFonts w:ascii="宋体" w:hAnsi="宋体" w:eastAsia="宋体" w:cs="Times New Roman"/>
                <w:kern w:val="0"/>
                <w:szCs w:val="21"/>
              </w:rPr>
            </w:pPr>
            <w:r>
              <w:rPr>
                <w:rFonts w:hint="eastAsia" w:ascii="宋体" w:hAnsi="宋体" w:eastAsia="宋体" w:cs="Times New Roman"/>
                <w:kern w:val="0"/>
                <w:szCs w:val="21"/>
              </w:rPr>
              <w:t>3.主要功能：</w:t>
            </w:r>
          </w:p>
          <w:p>
            <w:pPr>
              <w:rPr>
                <w:rFonts w:ascii="宋体" w:hAnsi="宋体" w:eastAsia="宋体" w:cs="Times New Roman"/>
                <w:kern w:val="0"/>
                <w:szCs w:val="21"/>
              </w:rPr>
            </w:pPr>
            <w:r>
              <w:rPr>
                <w:rFonts w:hint="eastAsia" w:ascii="宋体" w:hAnsi="宋体" w:eastAsia="宋体" w:cs="Times New Roman"/>
                <w:kern w:val="0"/>
                <w:szCs w:val="21"/>
              </w:rPr>
              <w:t>（1）通过生物反馈技术，实现情绪、压力的自我管理。</w:t>
            </w:r>
          </w:p>
          <w:p>
            <w:pPr>
              <w:rPr>
                <w:rFonts w:ascii="宋体" w:hAnsi="宋体" w:eastAsia="宋体" w:cs="Times New Roman"/>
                <w:kern w:val="0"/>
                <w:szCs w:val="21"/>
              </w:rPr>
            </w:pPr>
            <w:r>
              <w:rPr>
                <w:rFonts w:hint="eastAsia" w:ascii="宋体" w:hAnsi="宋体" w:eastAsia="宋体" w:cs="Times New Roman"/>
                <w:kern w:val="0"/>
                <w:szCs w:val="21"/>
              </w:rPr>
              <w:t>（2）提供评价报告：用文字描述并附图表说明的形式，详细报告平均心率、协调状态比例、调节能力指数、调节稳定指数、综合评价指数各项指标，并提供专业的意见和建议。</w:t>
            </w:r>
          </w:p>
          <w:p>
            <w:pPr>
              <w:rPr>
                <w:rFonts w:ascii="宋体" w:hAnsi="宋体" w:eastAsia="宋体" w:cs="Times New Roman"/>
                <w:kern w:val="0"/>
                <w:szCs w:val="21"/>
              </w:rPr>
            </w:pPr>
            <w:r>
              <w:rPr>
                <w:rFonts w:hint="eastAsia" w:ascii="宋体" w:hAnsi="宋体" w:eastAsia="宋体" w:cs="Times New Roman"/>
                <w:kern w:val="0"/>
                <w:szCs w:val="21"/>
              </w:rPr>
              <w:t>（3）提供呼吸助手功能和快速协调三步法：注意力集中于心脏，有节奏的深呼吸，用心体会关心、感激的积极情绪，帮助用户更快达到自主平衡状态；改善健康状况，增进平静和幸福感，增加情绪的稳定性，提升认知能力。</w:t>
            </w:r>
          </w:p>
          <w:p>
            <w:pPr>
              <w:rPr>
                <w:rFonts w:cs="宋体" w:asciiTheme="minorEastAsia" w:hAnsiTheme="minorEastAsia"/>
                <w:szCs w:val="21"/>
              </w:rPr>
            </w:pPr>
            <w:r>
              <w:rPr>
                <w:rFonts w:hint="eastAsia" w:ascii="宋体" w:hAnsi="宋体" w:eastAsia="宋体" w:cs="宋体"/>
                <w:kern w:val="0"/>
                <w:szCs w:val="21"/>
              </w:rPr>
              <w:t>4.</w:t>
            </w:r>
            <w:r>
              <w:rPr>
                <w:rFonts w:hint="eastAsia" w:ascii="宋体" w:hAnsi="宋体" w:eastAsia="宋体" w:cs="Times New Roman"/>
                <w:kern w:val="0"/>
                <w:szCs w:val="21"/>
              </w:rPr>
              <w:t>配有</w:t>
            </w:r>
            <w:r>
              <w:rPr>
                <w:rFonts w:ascii="宋体" w:hAnsi="宋体" w:eastAsia="宋体" w:cs="Times New Roman"/>
                <w:kern w:val="0"/>
                <w:szCs w:val="21"/>
              </w:rPr>
              <w:t>11寸</w:t>
            </w:r>
            <w:r>
              <w:rPr>
                <w:rFonts w:hint="eastAsia" w:ascii="宋体" w:hAnsi="宋体" w:eastAsia="宋体" w:cs="Times New Roman"/>
                <w:kern w:val="0"/>
                <w:szCs w:val="21"/>
              </w:rPr>
              <w:t>触控操作终端。</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pPr>
            <w:r>
              <w:drawing>
                <wp:inline distT="0" distB="0" distL="0" distR="0">
                  <wp:extent cx="1249680" cy="102870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1251996" cy="103034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3</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eastAsia="宋体" w:cs="Times New Roman"/>
                <w:kern w:val="0"/>
                <w:szCs w:val="21"/>
              </w:rPr>
            </w:pPr>
            <w:r>
              <w:rPr>
                <w:rFonts w:hint="eastAsia" w:ascii="宋体" w:hAnsi="宋体" w:eastAsia="宋体" w:cs="Times New Roman"/>
                <w:kern w:val="0"/>
                <w:szCs w:val="21"/>
              </w:rPr>
              <w:t>情绪管理评估训练系统</w:t>
            </w:r>
          </w:p>
        </w:tc>
        <w:tc>
          <w:tcPr>
            <w:tcW w:w="8255" w:type="dxa"/>
            <w:tcMar>
              <w:top w:w="15" w:type="dxa"/>
              <w:left w:w="15" w:type="dxa"/>
              <w:right w:w="15" w:type="dxa"/>
            </w:tcMar>
            <w:vAlign w:val="center"/>
          </w:tcPr>
          <w:p>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情绪管理评估训练系统采用认知治疗技术与信息技术相结合，通过改变自我的认知，以正念冥想改变心智模式，以放松技术改变身心状态，提高来访者自我反思和觉察的能力，让使用者能够找到适合自己的方法。系统通过改善用户情绪状态，获得好心情，提升生活、工作与学习的效率，建立更亲密的人际关系，增强对生活幸福美好的感受。</w:t>
            </w:r>
          </w:p>
          <w:p>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系统包括管理端和用户端共两个端口，提供了情绪调节知识、情绪评估量表、认知调节训练、正念冥想方法、放松训练技术等核心功能，帮助用户学会情绪管理的方法同时增强情绪控制能力。</w:t>
            </w:r>
          </w:p>
          <w:p>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1、</w:t>
            </w:r>
            <w:r>
              <w:rPr>
                <w:rFonts w:hint="eastAsia" w:cs="宋体" w:asciiTheme="minorEastAsia" w:hAnsiTheme="minorEastAsia"/>
                <w:color w:val="000000"/>
                <w:kern w:val="0"/>
                <w:szCs w:val="21"/>
              </w:rPr>
              <w:tab/>
            </w:r>
            <w:r>
              <w:rPr>
                <w:rFonts w:hint="eastAsia" w:cs="宋体" w:asciiTheme="minorEastAsia" w:hAnsiTheme="minorEastAsia"/>
                <w:color w:val="000000"/>
                <w:kern w:val="0"/>
                <w:szCs w:val="21"/>
              </w:rPr>
              <w:t>学习中心：系统内置多种不同的情绪调节方法的原理、概念及相关的知识。</w:t>
            </w:r>
          </w:p>
          <w:p>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2、</w:t>
            </w:r>
            <w:r>
              <w:rPr>
                <w:rFonts w:hint="eastAsia" w:cs="宋体" w:asciiTheme="minorEastAsia" w:hAnsiTheme="minorEastAsia"/>
                <w:color w:val="000000"/>
                <w:kern w:val="0"/>
                <w:szCs w:val="21"/>
              </w:rPr>
              <w:tab/>
            </w:r>
            <w:r>
              <w:rPr>
                <w:rFonts w:hint="eastAsia" w:cs="宋体" w:asciiTheme="minorEastAsia" w:hAnsiTheme="minorEastAsia"/>
                <w:color w:val="000000"/>
                <w:kern w:val="0"/>
                <w:szCs w:val="21"/>
              </w:rPr>
              <w:t>评估中心：用户可以根据自己的情绪状态选择评估量表，也可以完成管理端绑定某特定量表，进行团体施测，方便了解团体情绪状况。</w:t>
            </w:r>
          </w:p>
          <w:p>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3、</w:t>
            </w:r>
            <w:r>
              <w:rPr>
                <w:rFonts w:hint="eastAsia" w:cs="宋体" w:asciiTheme="minorEastAsia" w:hAnsiTheme="minorEastAsia"/>
                <w:color w:val="000000"/>
                <w:kern w:val="0"/>
                <w:szCs w:val="21"/>
              </w:rPr>
              <w:tab/>
            </w:r>
            <w:r>
              <w:rPr>
                <w:rFonts w:hint="eastAsia" w:cs="宋体" w:asciiTheme="minorEastAsia" w:hAnsiTheme="minorEastAsia"/>
                <w:color w:val="000000"/>
                <w:kern w:val="0"/>
                <w:szCs w:val="21"/>
              </w:rPr>
              <w:t>认知调节中心：系统内置了包括战胜拖延、化解愤怒、理解焦虑、超越抑郁、优化沟通等十余种最典型的情绪问题及相应的自动化认知调节解决方案，用户可在系统智能化方案的引导下进行相应的认知调节。</w:t>
            </w:r>
          </w:p>
          <w:p>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4、</w:t>
            </w:r>
            <w:r>
              <w:rPr>
                <w:rFonts w:hint="eastAsia" w:cs="宋体" w:asciiTheme="minorEastAsia" w:hAnsiTheme="minorEastAsia"/>
                <w:color w:val="000000"/>
                <w:kern w:val="0"/>
                <w:szCs w:val="21"/>
              </w:rPr>
              <w:tab/>
            </w:r>
            <w:r>
              <w:rPr>
                <w:rFonts w:hint="eastAsia" w:cs="宋体" w:asciiTheme="minorEastAsia" w:hAnsiTheme="minorEastAsia"/>
                <w:color w:val="000000"/>
                <w:kern w:val="0"/>
                <w:szCs w:val="21"/>
              </w:rPr>
              <w:t>正念冥想中心：系统提供了多个不同主题的正念冥想音频、视频辅助材料，并以此为指导方法引导用户进行练习，达到让心境宁静协调的状态。</w:t>
            </w:r>
          </w:p>
          <w:p>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5、</w:t>
            </w:r>
            <w:r>
              <w:rPr>
                <w:rFonts w:hint="eastAsia" w:cs="宋体" w:asciiTheme="minorEastAsia" w:hAnsiTheme="minorEastAsia"/>
                <w:color w:val="000000"/>
                <w:kern w:val="0"/>
                <w:szCs w:val="21"/>
              </w:rPr>
              <w:tab/>
            </w:r>
            <w:r>
              <w:rPr>
                <w:rFonts w:hint="eastAsia" w:cs="宋体" w:asciiTheme="minorEastAsia" w:hAnsiTheme="minorEastAsia"/>
                <w:color w:val="000000"/>
                <w:kern w:val="0"/>
                <w:szCs w:val="21"/>
              </w:rPr>
              <w:t>放松训练中心：系统内置了呼吸放松、着陆技术等多种不同的放松训练技术方法，可以引导用户学会调节身心，保持放松的状态。</w:t>
            </w:r>
          </w:p>
          <w:p>
            <w:pPr>
              <w:rPr>
                <w:rFonts w:cs="宋体" w:asciiTheme="minorEastAsia" w:hAnsiTheme="minorEastAsia"/>
                <w:color w:val="000000"/>
                <w:kern w:val="0"/>
                <w:szCs w:val="21"/>
              </w:rPr>
            </w:pPr>
            <w:r>
              <w:rPr>
                <w:rFonts w:hint="eastAsia" w:cs="宋体" w:asciiTheme="minorEastAsia" w:hAnsiTheme="minorEastAsia"/>
                <w:color w:val="000000"/>
                <w:kern w:val="0"/>
                <w:szCs w:val="21"/>
              </w:rPr>
              <w:t>本套系统既可作为心理咨询工作中进行情绪评估和情绪训练的用具，也可作为心理教育或情绪训练中引导来访者进行情绪管理能力和情绪控制能力学习及训练的有效工具。</w:t>
            </w:r>
          </w:p>
          <w:p>
            <w:pPr>
              <w:rPr>
                <w:rFonts w:cs="宋体" w:asciiTheme="minorEastAsia" w:hAnsiTheme="minorEastAsia"/>
                <w:color w:val="000000"/>
                <w:kern w:val="0"/>
                <w:szCs w:val="21"/>
              </w:rPr>
            </w:pPr>
            <w:r>
              <w:rPr>
                <w:rFonts w:hint="eastAsia" w:cs="宋体" w:asciiTheme="minorEastAsia" w:hAnsiTheme="minorEastAsia"/>
                <w:color w:val="000000"/>
                <w:kern w:val="0"/>
                <w:szCs w:val="21"/>
              </w:rPr>
              <w:t>硬件：含23寸一体机一套</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pPr>
            <w:r>
              <w:rPr>
                <w:rFonts w:cs="宋体" w:asciiTheme="minorEastAsia" w:hAnsiTheme="minorEastAsia"/>
                <w:color w:val="000000"/>
                <w:kern w:val="0"/>
                <w:szCs w:val="21"/>
              </w:rPr>
              <w:drawing>
                <wp:inline distT="0" distB="0" distL="0" distR="0">
                  <wp:extent cx="1209675" cy="676275"/>
                  <wp:effectExtent l="0" t="0" r="9525" b="9525"/>
                  <wp:docPr id="22" name="图片 22" descr="登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登录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209675" cy="676275"/>
                          </a:xfrm>
                          <a:prstGeom prst="rect">
                            <a:avLst/>
                          </a:prstGeom>
                          <a:noFill/>
                          <a:ln>
                            <a:noFill/>
                          </a:ln>
                        </pic:spPr>
                      </pic:pic>
                    </a:graphicData>
                  </a:graphic>
                </wp:inline>
              </w:drawing>
            </w:r>
          </w:p>
          <w:p/>
          <w:p/>
          <w:p/>
          <w:p>
            <w:r>
              <w:rPr>
                <w:rFonts w:cs="宋体" w:asciiTheme="minorEastAsia" w:hAnsiTheme="minorEastAsia"/>
                <w:color w:val="000000"/>
                <w:kern w:val="0"/>
                <w:szCs w:val="21"/>
              </w:rPr>
              <w:drawing>
                <wp:inline distT="0" distB="0" distL="0" distR="0">
                  <wp:extent cx="1209675" cy="676275"/>
                  <wp:effectExtent l="0" t="0" r="9525" b="9525"/>
                  <wp:docPr id="23" name="图片 23" descr="情绪管理评估训练系统-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情绪管理评估训练系统-桌面"/>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209675" cy="676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Before w:w="0" w:type="auto"/>
          <w:wAfter w:w="2" w:type="dxa"/>
        </w:trPr>
        <w:tc>
          <w:tcPr>
            <w:tcW w:w="14909" w:type="dxa"/>
            <w:gridSpan w:val="8"/>
            <w:shd w:val="clear" w:color="auto" w:fill="auto"/>
            <w:tcMar>
              <w:top w:w="15" w:type="dxa"/>
              <w:left w:w="15" w:type="dxa"/>
              <w:right w:w="15" w:type="dxa"/>
            </w:tcMar>
            <w:vAlign w:val="center"/>
          </w:tcPr>
          <w:p>
            <w:pPr>
              <w:adjustRightInd w:val="0"/>
              <w:snapToGrid w:val="0"/>
              <w:jc w:val="center"/>
              <w:rPr>
                <w:rFonts w:asciiTheme="minorEastAsia" w:hAnsiTheme="minorEastAsia"/>
                <w:b/>
                <w:sz w:val="24"/>
                <w:szCs w:val="24"/>
              </w:rPr>
            </w:pPr>
            <w:r>
              <w:rPr>
                <w:rFonts w:asciiTheme="minorEastAsia" w:hAnsiTheme="minorEastAsia"/>
                <w:b/>
                <w:sz w:val="24"/>
                <w:szCs w:val="24"/>
              </w:rPr>
              <w:t>八</w:t>
            </w:r>
            <w:r>
              <w:rPr>
                <w:rFonts w:hint="eastAsia" w:asciiTheme="minorEastAsia" w:hAnsiTheme="minorEastAsia"/>
                <w:b/>
                <w:sz w:val="24"/>
                <w:szCs w:val="24"/>
              </w:rPr>
              <w:t>、</w:t>
            </w:r>
            <w:r>
              <w:rPr>
                <w:rFonts w:asciiTheme="minorEastAsia" w:hAnsiTheme="minorEastAsia"/>
                <w:b/>
                <w:sz w:val="24"/>
                <w:szCs w:val="24"/>
              </w:rPr>
              <w:t>职业技能训练区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1</w:t>
            </w:r>
          </w:p>
        </w:tc>
        <w:tc>
          <w:tcPr>
            <w:tcW w:w="1127" w:type="dxa"/>
            <w:tcMar>
              <w:top w:w="15" w:type="dxa"/>
              <w:left w:w="15" w:type="dxa"/>
              <w:right w:w="15" w:type="dxa"/>
            </w:tcMar>
            <w:vAlign w:val="center"/>
          </w:tcPr>
          <w:p>
            <w:pPr>
              <w:spacing w:line="360" w:lineRule="auto"/>
              <w:jc w:val="center"/>
              <w:rPr>
                <w:rFonts w:cs="宋体" w:asciiTheme="minorEastAsia" w:hAnsiTheme="minorEastAsia"/>
                <w:color w:val="000000"/>
                <w:kern w:val="0"/>
                <w:szCs w:val="21"/>
                <w:lang w:bidi="ar"/>
              </w:rPr>
            </w:pPr>
            <w:r>
              <w:rPr>
                <w:rFonts w:hint="eastAsia" w:cs="宋体" w:asciiTheme="minorEastAsia" w:hAnsiTheme="minorEastAsia"/>
                <w:color w:val="000000"/>
                <w:kern w:val="0"/>
                <w:szCs w:val="21"/>
                <w:lang w:bidi="ar"/>
              </w:rPr>
              <w:t>职业生涯自我探索系列卡牌套装</w:t>
            </w:r>
          </w:p>
          <w:p>
            <w:pPr>
              <w:widowControl/>
              <w:adjustRightInd w:val="0"/>
              <w:snapToGrid w:val="0"/>
              <w:jc w:val="center"/>
              <w:textAlignment w:val="center"/>
              <w:rPr>
                <w:rFonts w:ascii="宋体" w:hAnsi="宋体" w:eastAsia="宋体" w:cs="Times New Roman"/>
                <w:kern w:val="0"/>
                <w:szCs w:val="21"/>
              </w:rPr>
            </w:pPr>
          </w:p>
        </w:tc>
        <w:tc>
          <w:tcPr>
            <w:tcW w:w="8255" w:type="dxa"/>
            <w:tcMar>
              <w:top w:w="15" w:type="dxa"/>
              <w:left w:w="15" w:type="dxa"/>
              <w:right w:w="15" w:type="dxa"/>
            </w:tcMar>
            <w:vAlign w:val="center"/>
          </w:tcPr>
          <w:p>
            <w:pPr>
              <w:rPr>
                <w:rFonts w:asciiTheme="minorEastAsia" w:hAnsiTheme="minorEastAsia"/>
                <w:bCs/>
                <w:szCs w:val="21"/>
              </w:rPr>
            </w:pPr>
            <w:r>
              <w:rPr>
                <w:rFonts w:hint="eastAsia" w:asciiTheme="minorEastAsia" w:hAnsiTheme="minorEastAsia"/>
                <w:b/>
                <w:bCs/>
                <w:szCs w:val="21"/>
              </w:rPr>
              <w:t>职业生涯自我探索系列卡牌具有作品登记证书。</w:t>
            </w:r>
          </w:p>
          <w:p>
            <w:pPr>
              <w:rPr>
                <w:rFonts w:asciiTheme="minorEastAsia" w:hAnsiTheme="minorEastAsia"/>
                <w:bCs/>
                <w:szCs w:val="21"/>
              </w:rPr>
            </w:pPr>
            <w:r>
              <w:rPr>
                <w:rFonts w:hint="eastAsia" w:asciiTheme="minorEastAsia" w:hAnsiTheme="minorEastAsia"/>
                <w:bCs/>
                <w:szCs w:val="21"/>
              </w:rPr>
              <w:t>职业生涯自我探索系列卡牌由5种不同类型的卡牌套装构成：《职业卡》、《能力卡》、《兴趣卡》、《性格卡》、《生涯价值观卡》。</w:t>
            </w:r>
          </w:p>
          <w:p>
            <w:pPr>
              <w:rPr>
                <w:rFonts w:asciiTheme="minorEastAsia" w:hAnsiTheme="minorEastAsia"/>
                <w:bCs/>
                <w:szCs w:val="21"/>
              </w:rPr>
            </w:pPr>
            <w:r>
              <w:rPr>
                <w:rFonts w:hint="eastAsia" w:asciiTheme="minorEastAsia" w:hAnsiTheme="minorEastAsia"/>
                <w:bCs/>
                <w:szCs w:val="21"/>
              </w:rPr>
              <w:t>该套装含有《职业生涯自我探索系列卡牌活动手册》、各类卡牌的《活动记录表》。全部材料均存放在定制的职业生涯自我探索系列卡牌道具箱中，方便携带管理。</w:t>
            </w:r>
          </w:p>
          <w:p>
            <w:pPr>
              <w:rPr>
                <w:rFonts w:asciiTheme="minorEastAsia" w:hAnsiTheme="minorEastAsia"/>
                <w:bCs/>
                <w:szCs w:val="21"/>
              </w:rPr>
            </w:pPr>
            <w:r>
              <w:rPr>
                <w:rFonts w:hint="eastAsia" w:asciiTheme="minorEastAsia" w:hAnsiTheme="minorEastAsia"/>
                <w:bCs/>
                <w:szCs w:val="21"/>
              </w:rPr>
              <w:t>职业卡包含115张卡牌，分为企业型、实操型、艺术型、常规型、研究型和社会型六种类型。学生可以通过该职业卡牌游戏增加对职业种类的认识，并产生对未来职业的愿景，形成职业意识。职业卡牌背面包括卡牌名称、职业类型两个部分，正面包括职业名称、职业代码、职业描述三个部分。</w:t>
            </w:r>
          </w:p>
          <w:p>
            <w:pPr>
              <w:rPr>
                <w:rFonts w:asciiTheme="minorEastAsia" w:hAnsiTheme="minorEastAsia"/>
                <w:bCs/>
                <w:szCs w:val="21"/>
              </w:rPr>
            </w:pPr>
            <w:r>
              <w:rPr>
                <w:rFonts w:hint="eastAsia" w:asciiTheme="minorEastAsia" w:hAnsiTheme="minorEastAsia"/>
                <w:bCs/>
                <w:szCs w:val="21"/>
              </w:rPr>
              <w:t>能力卡包含78张卡牌，也分为六大类，即企业型、实操型、社会型、研究型、常规型和艺术型。学生可以通过能力卡游戏，来探索自己擅长的能力，再与自己的理想职业进行匹配，看是否符合理想职业对于能力的要求。</w:t>
            </w:r>
          </w:p>
          <w:p>
            <w:pPr>
              <w:rPr>
                <w:rFonts w:asciiTheme="minorEastAsia" w:hAnsiTheme="minorEastAsia"/>
                <w:bCs/>
                <w:szCs w:val="21"/>
              </w:rPr>
            </w:pPr>
            <w:r>
              <w:rPr>
                <w:rFonts w:hint="eastAsia" w:asciiTheme="minorEastAsia" w:hAnsiTheme="minorEastAsia"/>
                <w:bCs/>
                <w:szCs w:val="21"/>
              </w:rPr>
              <w:t>兴趣卡包含108张卡牌，根据霍兰德职业兴趣量表改编而成，更加贴近学生的真实生活。卡牌分为三大部分，即我是、我喜欢、我擅长。通过卡牌游戏，学生可以探索自己的兴趣属于哪种类型。</w:t>
            </w:r>
          </w:p>
          <w:p>
            <w:pPr>
              <w:rPr>
                <w:rFonts w:asciiTheme="minorEastAsia" w:hAnsiTheme="minorEastAsia"/>
                <w:bCs/>
                <w:szCs w:val="21"/>
              </w:rPr>
            </w:pPr>
            <w:r>
              <w:rPr>
                <w:rFonts w:hint="eastAsia" w:asciiTheme="minorEastAsia" w:hAnsiTheme="minorEastAsia"/>
                <w:bCs/>
                <w:szCs w:val="21"/>
              </w:rPr>
              <w:t>性格卡包含134张卡牌，总共分为五大类，即动植物类、积极词类、消极词类、中性词类、积极品质词类。学生通过参与性格卡的活动，增进沟通与交往，了解自己在别人心目中的性格形象。</w:t>
            </w:r>
          </w:p>
          <w:p>
            <w:pPr>
              <w:rPr>
                <w:rFonts w:asciiTheme="minorEastAsia" w:hAnsiTheme="minorEastAsia"/>
                <w:bCs/>
                <w:szCs w:val="21"/>
              </w:rPr>
            </w:pPr>
            <w:r>
              <w:rPr>
                <w:rFonts w:hint="eastAsia" w:asciiTheme="minorEastAsia" w:hAnsiTheme="minorEastAsia"/>
                <w:bCs/>
                <w:szCs w:val="21"/>
              </w:rPr>
              <w:t>生涯价值观卡包含54张卡牌，分为内在自我、身体感觉、生活形态、外在物质、人际关系五个类别。学生通过对这五个方面生涯价值观的筛选、排序，从而得到自己最重要的生涯价值观，并与自己的理想职业相匹配，在不断的探索中寻找到真正符合自己生涯价值观的理想职业。</w:t>
            </w:r>
          </w:p>
          <w:p>
            <w:pPr>
              <w:rPr>
                <w:rFonts w:asciiTheme="minorEastAsia" w:hAnsiTheme="minorEastAsia"/>
                <w:szCs w:val="21"/>
              </w:rPr>
            </w:pPr>
            <w:r>
              <w:rPr>
                <w:rFonts w:hint="eastAsia" w:asciiTheme="minorEastAsia" w:hAnsiTheme="minorEastAsia"/>
                <w:bCs/>
                <w:szCs w:val="21"/>
              </w:rPr>
              <w:t>职业卡、能力卡、兴趣卡、性格卡、生涯价值观卡这五类卡牌既能自成体系，又能相互关联。它们共同围绕职业生涯的自我探索这一主题，帮助学生通过活动找到既符合自己兴趣与价值观，又希望从事或擅长的理想职业。五类卡牌都有个体游戏和团体游戏两种形式，还可以将几种牌进行组合游戏。学生可以通过卡牌丰富有趣、引人入胜的活动来探索自我、了解职业并逐步确定自己的职业理想，更明确并逐渐规划好自己的人生道路。</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pPr>
            <w:r>
              <w:drawing>
                <wp:inline distT="0" distB="0" distL="0" distR="0">
                  <wp:extent cx="1247775" cy="866775"/>
                  <wp:effectExtent l="0" t="0" r="952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53"/>
                          <a:stretch>
                            <a:fillRect/>
                          </a:stretch>
                        </pic:blipFill>
                        <pic:spPr>
                          <a:xfrm>
                            <a:off x="0" y="0"/>
                            <a:ext cx="1251458" cy="86897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2</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eastAsia="宋体" w:cs="Times New Roman"/>
                <w:kern w:val="0"/>
                <w:szCs w:val="21"/>
              </w:rPr>
            </w:pPr>
            <w:r>
              <w:rPr>
                <w:rFonts w:hint="eastAsia" w:ascii="宋体" w:hAnsi="宋体" w:eastAsia="宋体" w:cs="Times New Roman"/>
                <w:kern w:val="0"/>
                <w:szCs w:val="21"/>
              </w:rPr>
              <w:t>职业生涯自我探索仪</w:t>
            </w:r>
          </w:p>
        </w:tc>
        <w:tc>
          <w:tcPr>
            <w:tcW w:w="8255" w:type="dxa"/>
            <w:tcMar>
              <w:top w:w="15" w:type="dxa"/>
              <w:left w:w="15" w:type="dxa"/>
              <w:right w:w="15" w:type="dxa"/>
            </w:tcMar>
            <w:vAlign w:val="center"/>
          </w:tcPr>
          <w:p>
            <w:pPr>
              <w:rPr>
                <w:rFonts w:asciiTheme="minorEastAsia" w:hAnsiTheme="minorEastAsia"/>
                <w:szCs w:val="21"/>
              </w:rPr>
            </w:pPr>
            <w:r>
              <w:rPr>
                <w:rFonts w:hint="eastAsia" w:asciiTheme="minorEastAsia" w:hAnsiTheme="minorEastAsia"/>
                <w:szCs w:val="21"/>
              </w:rPr>
              <w:t>职业生涯探索仪依据霍兰德职业兴趣理论，通过用户独自或团体共同开展游戏的方式，提高对职业的认知，探索明确适合自己的职业理想。系统利用用户喜爱的卡牌游戏的形式，引导用户通过收集、分类、组合职业卡、能力卡、兴趣卡、性格卡、生涯价值观卡等不同种类卡牌了解自我及探索职业。</w:t>
            </w:r>
          </w:p>
          <w:p>
            <w:pPr>
              <w:rPr>
                <w:rFonts w:asciiTheme="minorEastAsia" w:hAnsiTheme="minorEastAsia"/>
                <w:szCs w:val="21"/>
              </w:rPr>
            </w:pPr>
            <w:r>
              <w:rPr>
                <w:rFonts w:hint="eastAsia" w:asciiTheme="minorEastAsia" w:hAnsiTheme="minorEastAsia"/>
                <w:szCs w:val="21"/>
              </w:rPr>
              <w:t>职业生涯探索系统共包括单人模式、团体模式、生涯探索、卡牌图鉴、探索记录、成绩榜六大核心功能模块，可实现如下功能：</w:t>
            </w:r>
          </w:p>
          <w:p>
            <w:pPr>
              <w:rPr>
                <w:rFonts w:asciiTheme="minorEastAsia" w:hAnsiTheme="minorEastAsia"/>
                <w:szCs w:val="21"/>
              </w:rPr>
            </w:pPr>
            <w:r>
              <w:rPr>
                <w:rFonts w:hint="eastAsia" w:asciiTheme="minorEastAsia" w:hAnsiTheme="minorEastAsia"/>
                <w:szCs w:val="21"/>
              </w:rPr>
              <w:t>1.八项独特的单人游戏模式：包括我最感兴趣的职业、能力区划分、性格对对碰、最重要的价值观、得到和失去、符合我的最佳职业等。用户通过卡牌选择、卡牌分类、卡牌筛选、卡牌排序等操作完成这八项游戏后，可以对自己的兴趣、性格、职业价值观、能力有一个清晰的了解，进一步明确自己的职业方向。每项游戏结束后系统后可自动生成相应的分析报告，报告主要内容包括霍兰德职业类型、游戏结果分析、推荐职业、并且引导用户在游戏后，对游戏进行更深层的思考。</w:t>
            </w:r>
          </w:p>
          <w:p>
            <w:pPr>
              <w:rPr>
                <w:rFonts w:asciiTheme="minorEastAsia" w:hAnsiTheme="minorEastAsia"/>
                <w:szCs w:val="21"/>
              </w:rPr>
            </w:pPr>
            <w:r>
              <w:rPr>
                <w:rFonts w:hint="eastAsia" w:asciiTheme="minorEastAsia" w:hAnsiTheme="minorEastAsia"/>
                <w:szCs w:val="21"/>
              </w:rPr>
              <w:t>2.丰富的团体游戏模式：系统支持多人共同参与的团体游戏模式，包括职业达人、心有灵犀、对号入座、价值观拍卖等。在游戏中，通过多人配合，相互评价、竞猜与比价等行动后，引导用户思考自己性格、能力、价值观、兴趣的评价与其他人的评价有什么差别等深层次的问题，让用户更加了解自己，明确自身的职业观。每个游戏都可以支持至少2人以上同时参与，并自动记录游戏结果，在完成游戏基本流程后还设计了专门的关卡引导用户进行分享与思考。</w:t>
            </w:r>
          </w:p>
          <w:p>
            <w:pPr>
              <w:rPr>
                <w:rFonts w:asciiTheme="minorEastAsia" w:hAnsiTheme="minorEastAsia"/>
                <w:szCs w:val="21"/>
              </w:rPr>
            </w:pPr>
            <w:r>
              <w:rPr>
                <w:rFonts w:hint="eastAsia" w:asciiTheme="minorEastAsia" w:hAnsiTheme="minorEastAsia"/>
                <w:szCs w:val="21"/>
              </w:rPr>
              <w:t>3.系统全面的数据记录和丰富多样的报告呈现：系统自动记录使用本游戏的时间、次数、完成度等信息，可查看包括兴趣记录表、职业记录表、能力记录表、价值观记录表、综合记录表等等多种记录报告。统计记录用户在游戏中的兴趣、性格、能力、价值观等信息，分析其霍兰德职业类型，并推荐或确定用户符合的职业或职业类型，让用户更加明确的掌握自己的职业倾向。</w:t>
            </w:r>
          </w:p>
          <w:p>
            <w:pPr>
              <w:rPr>
                <w:rFonts w:asciiTheme="minorEastAsia" w:hAnsiTheme="minorEastAsia"/>
                <w:szCs w:val="21"/>
              </w:rPr>
            </w:pPr>
            <w:r>
              <w:rPr>
                <w:rFonts w:hint="eastAsia" w:asciiTheme="minorEastAsia" w:hAnsiTheme="minorEastAsia"/>
                <w:szCs w:val="21"/>
              </w:rPr>
              <w:t>4.有趣的卡牌图鉴收集系统：系统支持用户自行查看和收集包括职业卡、能力卡、兴趣卡、性格卡、生涯价值观卡这五种类型的卡牌。</w:t>
            </w:r>
          </w:p>
          <w:p>
            <w:pPr>
              <w:rPr>
                <w:rFonts w:asciiTheme="minorEastAsia" w:hAnsiTheme="minorEastAsia"/>
                <w:szCs w:val="21"/>
              </w:rPr>
            </w:pPr>
            <w:r>
              <w:rPr>
                <w:rFonts w:hint="eastAsia" w:asciiTheme="minorEastAsia" w:hAnsiTheme="minorEastAsia"/>
                <w:szCs w:val="21"/>
              </w:rPr>
              <w:t>5.成就激励机制：系统设置了很多游戏成就，激励和引导用户通过完成系统的各项游戏任务和挑战去收集和达成成就。</w:t>
            </w:r>
          </w:p>
          <w:p>
            <w:pPr>
              <w:rPr>
                <w:rFonts w:asciiTheme="minorEastAsia" w:hAnsiTheme="minorEastAsia"/>
                <w:szCs w:val="21"/>
              </w:rPr>
            </w:pPr>
            <w:r>
              <w:rPr>
                <w:rFonts w:hint="eastAsia" w:asciiTheme="minorEastAsia" w:hAnsiTheme="minorEastAsia"/>
                <w:szCs w:val="21"/>
              </w:rPr>
              <w:t>配有</w:t>
            </w:r>
            <w:r>
              <w:rPr>
                <w:rFonts w:asciiTheme="minorEastAsia" w:hAnsiTheme="minorEastAsia"/>
                <w:szCs w:val="21"/>
              </w:rPr>
              <w:t>11寸</w:t>
            </w:r>
            <w:r>
              <w:rPr>
                <w:rFonts w:hint="eastAsia" w:asciiTheme="minorEastAsia" w:hAnsiTheme="minorEastAsia"/>
                <w:szCs w:val="21"/>
              </w:rPr>
              <w:t>触控操作终端。</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pPr>
            <w:r>
              <w:drawing>
                <wp:inline distT="0" distB="0" distL="0" distR="0">
                  <wp:extent cx="1220470" cy="914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a:stretch>
                            <a:fillRect/>
                          </a:stretch>
                        </pic:blipFill>
                        <pic:spPr>
                          <a:xfrm>
                            <a:off x="0" y="0"/>
                            <a:ext cx="1222054" cy="915202"/>
                          </a:xfrm>
                          <a:prstGeom prst="rect">
                            <a:avLst/>
                          </a:prstGeom>
                        </pic:spPr>
                      </pic:pic>
                    </a:graphicData>
                  </a:graphic>
                </wp:inline>
              </w:drawing>
            </w:r>
          </w:p>
          <w:p/>
          <w:p>
            <w:r>
              <w:drawing>
                <wp:inline distT="0" distB="0" distL="0" distR="0">
                  <wp:extent cx="1208405" cy="75247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55"/>
                          <a:stretch>
                            <a:fillRect/>
                          </a:stretch>
                        </pic:blipFill>
                        <pic:spPr>
                          <a:xfrm>
                            <a:off x="0" y="0"/>
                            <a:ext cx="1213566" cy="75567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Before w:w="0" w:type="auto"/>
          <w:wAfter w:w="2" w:type="dxa"/>
        </w:trPr>
        <w:tc>
          <w:tcPr>
            <w:tcW w:w="14909" w:type="dxa"/>
            <w:gridSpan w:val="8"/>
            <w:shd w:val="clear" w:color="auto" w:fill="auto"/>
            <w:tcMar>
              <w:top w:w="15" w:type="dxa"/>
              <w:left w:w="15" w:type="dxa"/>
              <w:right w:w="15" w:type="dxa"/>
            </w:tcMar>
            <w:vAlign w:val="center"/>
          </w:tcPr>
          <w:p>
            <w:pPr>
              <w:adjustRightInd w:val="0"/>
              <w:snapToGrid w:val="0"/>
              <w:jc w:val="center"/>
              <w:rPr>
                <w:b/>
                <w:sz w:val="24"/>
                <w:szCs w:val="24"/>
              </w:rPr>
            </w:pPr>
            <w:r>
              <w:rPr>
                <w:b/>
                <w:sz w:val="24"/>
                <w:szCs w:val="24"/>
              </w:rPr>
              <w:t>九</w:t>
            </w:r>
            <w:r>
              <w:rPr>
                <w:rFonts w:hint="eastAsia"/>
                <w:b/>
                <w:sz w:val="24"/>
                <w:szCs w:val="24"/>
              </w:rPr>
              <w:t>、</w:t>
            </w:r>
            <w:r>
              <w:rPr>
                <w:b/>
                <w:sz w:val="24"/>
                <w:szCs w:val="24"/>
              </w:rPr>
              <w:t>知识阅读训练区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ascii="宋体" w:hAnsi="宋体" w:cs="宋体"/>
                <w:color w:val="000000"/>
                <w:szCs w:val="21"/>
              </w:rPr>
              <w:t>1</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特殊教育书籍</w:t>
            </w:r>
          </w:p>
        </w:tc>
        <w:tc>
          <w:tcPr>
            <w:tcW w:w="8255" w:type="dxa"/>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rPr>
                <w:rFonts w:hint="eastAsia" w:ascii="宋体" w:hAnsi="宋体" w:cs="宋体"/>
                <w:color w:val="000000"/>
                <w:kern w:val="0"/>
                <w:szCs w:val="21"/>
                <w:lang w:bidi="ar"/>
              </w:rPr>
              <w:t>针对特殊教育学生的老师及家长书籍；可以用于借阅，图书涉及心理、康复、教育等方面。</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本</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szCs w:val="21"/>
              </w:rPr>
              <w:t>20</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ascii="宋体" w:hAnsi="宋体" w:cs="宋体"/>
                <w:color w:val="000000"/>
                <w:szCs w:val="21"/>
              </w:rPr>
              <w:t>2</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绘本</w:t>
            </w:r>
          </w:p>
        </w:tc>
        <w:tc>
          <w:tcPr>
            <w:tcW w:w="8255" w:type="dxa"/>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rPr>
                <w:rFonts w:hint="eastAsia" w:ascii="宋体" w:hAnsi="宋体" w:cs="宋体"/>
                <w:color w:val="000000"/>
                <w:kern w:val="0"/>
                <w:szCs w:val="21"/>
                <w:lang w:bidi="ar"/>
              </w:rPr>
              <w:t>培养阅读兴趣，提高学生思维能力；以故事科普书籍为主。</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30</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ascii="宋体" w:hAnsi="宋体" w:cs="宋体"/>
                <w:color w:val="000000"/>
                <w:szCs w:val="21"/>
              </w:rPr>
              <w:t>3</w:t>
            </w:r>
          </w:p>
        </w:tc>
        <w:tc>
          <w:tcPr>
            <w:tcW w:w="1127"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语音读本</w:t>
            </w:r>
          </w:p>
        </w:tc>
        <w:tc>
          <w:tcPr>
            <w:tcW w:w="8255" w:type="dxa"/>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rPr>
                <w:rFonts w:hint="eastAsia" w:ascii="宋体" w:hAnsi="宋体" w:cs="宋体"/>
                <w:color w:val="000000"/>
                <w:kern w:val="0"/>
                <w:szCs w:val="21"/>
                <w:lang w:bidi="ar"/>
              </w:rPr>
              <w:t>认知动物和交通工具。每一个场景图，用手按下相应的发声位置，会发出音效、中英文朗读和儿歌。</w:t>
            </w:r>
          </w:p>
        </w:tc>
        <w:tc>
          <w:tcPr>
            <w:tcW w:w="73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szCs w:val="21"/>
              </w:rPr>
            </w:pPr>
            <w:r>
              <w:rPr>
                <w:rFonts w:cs="宋体" w:asciiTheme="minorEastAsia" w:hAnsiTheme="minorEastAsia"/>
                <w:color w:val="000000"/>
                <w:szCs w:val="21"/>
              </w:rPr>
              <w:t>4</w:t>
            </w:r>
          </w:p>
        </w:tc>
        <w:tc>
          <w:tcPr>
            <w:tcW w:w="1127" w:type="dxa"/>
            <w:tcMar>
              <w:top w:w="15" w:type="dxa"/>
              <w:left w:w="15" w:type="dxa"/>
              <w:right w:w="15" w:type="dxa"/>
            </w:tcMar>
          </w:tcPr>
          <w:p>
            <w:pPr>
              <w:jc w:val="center"/>
              <w:rPr>
                <w:rFonts w:asciiTheme="minorEastAsia" w:hAnsiTheme="minorEastAsia"/>
              </w:rPr>
            </w:pPr>
            <w:r>
              <w:rPr>
                <w:rFonts w:hint="eastAsia" w:asciiTheme="minorEastAsia" w:hAnsiTheme="minorEastAsia"/>
              </w:rPr>
              <w:t>自闭症整合干预室规章制度</w:t>
            </w:r>
          </w:p>
        </w:tc>
        <w:tc>
          <w:tcPr>
            <w:tcW w:w="8255" w:type="dxa"/>
            <w:tcMar>
              <w:top w:w="15" w:type="dxa"/>
              <w:left w:w="15" w:type="dxa"/>
              <w:right w:w="15" w:type="dxa"/>
            </w:tcMar>
          </w:tcPr>
          <w:p>
            <w:pPr>
              <w:rPr>
                <w:rFonts w:asciiTheme="minorEastAsia" w:hAnsiTheme="minorEastAsia"/>
              </w:rPr>
            </w:pPr>
            <w:r>
              <w:rPr>
                <w:rFonts w:hint="eastAsia" w:asciiTheme="minorEastAsia" w:hAnsiTheme="minorEastAsia"/>
              </w:rPr>
              <w:t>自闭症干预室规章制度挂图</w:t>
            </w:r>
          </w:p>
        </w:tc>
        <w:tc>
          <w:tcPr>
            <w:tcW w:w="735" w:type="dxa"/>
            <w:tcMar>
              <w:top w:w="15" w:type="dxa"/>
              <w:left w:w="15" w:type="dxa"/>
              <w:right w:w="15" w:type="dxa"/>
            </w:tcMar>
            <w:vAlign w:val="center"/>
          </w:tcPr>
          <w:p>
            <w:pPr>
              <w:jc w:val="center"/>
              <w:rPr>
                <w:rFonts w:asciiTheme="minorEastAsia" w:hAnsiTheme="minorEastAsia"/>
              </w:rPr>
            </w:pPr>
          </w:p>
        </w:tc>
        <w:tc>
          <w:tcPr>
            <w:tcW w:w="70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r>
              <w:rPr>
                <w:rFonts w:hint="eastAsia" w:cs="宋体" w:asciiTheme="minorEastAsia" w:hAnsiTheme="minorEastAsia"/>
                <w:color w:val="000000"/>
                <w:kern w:val="0"/>
                <w:szCs w:val="21"/>
                <w:lang w:bidi="ar"/>
              </w:rPr>
              <w:t>副</w:t>
            </w:r>
          </w:p>
        </w:tc>
        <w:tc>
          <w:tcPr>
            <w:tcW w:w="70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r>
              <w:rPr>
                <w:rFonts w:hint="eastAsia" w:cs="宋体" w:asciiTheme="minorEastAsia" w:hAnsiTheme="minorEastAsia"/>
                <w:color w:val="000000"/>
                <w:kern w:val="0"/>
                <w:szCs w:val="21"/>
                <w:lang w:bidi="ar"/>
              </w:rPr>
              <w:t>4</w:t>
            </w:r>
          </w:p>
        </w:tc>
        <w:tc>
          <w:tcPr>
            <w:tcW w:w="705" w:type="dxa"/>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rPr>
                <w:rFonts w:cs="宋体" w:asciiTheme="minorEastAsia" w:hAnsi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Pr>
        <w:tc>
          <w:tcPr>
            <w:tcW w:w="706" w:type="dxa"/>
            <w:shd w:val="clear" w:color="auto" w:fill="auto"/>
            <w:tcMar>
              <w:top w:w="15" w:type="dxa"/>
              <w:left w:w="15" w:type="dxa"/>
              <w:right w:w="15" w:type="dxa"/>
            </w:tcMar>
            <w:vAlign w:val="center"/>
          </w:tcPr>
          <w:p>
            <w:pPr>
              <w:widowControl/>
              <w:adjustRightInd w:val="0"/>
              <w:snapToGrid w:val="0"/>
              <w:jc w:val="center"/>
              <w:textAlignment w:val="center"/>
              <w:rPr>
                <w:rFonts w:cs="宋体" w:asciiTheme="minorEastAsia" w:hAnsiTheme="minorEastAsia"/>
                <w:color w:val="000000"/>
                <w:szCs w:val="21"/>
              </w:rPr>
            </w:pPr>
            <w:r>
              <w:rPr>
                <w:rFonts w:hint="eastAsia" w:cs="宋体" w:asciiTheme="minorEastAsia" w:hAnsiTheme="minorEastAsia"/>
                <w:color w:val="000000"/>
                <w:szCs w:val="21"/>
              </w:rPr>
              <w:t>5</w:t>
            </w:r>
          </w:p>
        </w:tc>
        <w:tc>
          <w:tcPr>
            <w:tcW w:w="1127" w:type="dxa"/>
            <w:tcMar>
              <w:top w:w="15" w:type="dxa"/>
              <w:left w:w="15" w:type="dxa"/>
              <w:right w:w="15" w:type="dxa"/>
            </w:tcMar>
            <w:vAlign w:val="center"/>
          </w:tcPr>
          <w:p>
            <w:pPr>
              <w:jc w:val="center"/>
              <w:rPr>
                <w:rFonts w:asciiTheme="minorEastAsia" w:hAnsiTheme="minorEastAsia"/>
              </w:rPr>
            </w:pPr>
            <w:r>
              <w:rPr>
                <w:rFonts w:hint="eastAsia" w:asciiTheme="minorEastAsia" w:hAnsiTheme="minorEastAsia"/>
              </w:rPr>
              <w:t>PREP阅读增强训练仪</w:t>
            </w:r>
          </w:p>
        </w:tc>
        <w:tc>
          <w:tcPr>
            <w:tcW w:w="8255" w:type="dxa"/>
            <w:tcMar>
              <w:top w:w="15" w:type="dxa"/>
              <w:left w:w="15" w:type="dxa"/>
              <w:right w:w="15" w:type="dxa"/>
            </w:tcMar>
          </w:tcPr>
          <w:p>
            <w:pPr>
              <w:rPr>
                <w:rFonts w:asciiTheme="minorEastAsia" w:hAnsiTheme="minorEastAsia"/>
                <w:b/>
                <w:bCs/>
                <w:szCs w:val="21"/>
              </w:rPr>
            </w:pPr>
            <w:r>
              <w:rPr>
                <w:rFonts w:hint="eastAsia" w:asciiTheme="minorEastAsia" w:hAnsiTheme="minorEastAsia"/>
                <w:b/>
                <w:bCs/>
                <w:szCs w:val="21"/>
              </w:rPr>
              <w:t>软件具有国家版权局颁发的软件著作权登记证书。</w:t>
            </w:r>
          </w:p>
          <w:p>
            <w:pPr>
              <w:tabs>
                <w:tab w:val="left" w:pos="1800"/>
                <w:tab w:val="left" w:pos="5580"/>
              </w:tabs>
              <w:rPr>
                <w:rFonts w:asciiTheme="minorEastAsia" w:hAnsiTheme="minorEastAsia"/>
                <w:szCs w:val="21"/>
              </w:rPr>
            </w:pPr>
            <w:r>
              <w:rPr>
                <w:rFonts w:hint="eastAsia" w:asciiTheme="minorEastAsia" w:hAnsiTheme="minorEastAsia"/>
                <w:b/>
                <w:bCs/>
                <w:iCs/>
                <w:szCs w:val="21"/>
              </w:rPr>
              <w:t>软件具有省级或国家级检测机构出具的软件产品登记测试报告。</w:t>
            </w:r>
          </w:p>
          <w:p>
            <w:pPr>
              <w:rPr>
                <w:rFonts w:cs="Arial" w:asciiTheme="minorEastAsia" w:hAnsiTheme="minorEastAsia"/>
                <w:bCs/>
                <w:kern w:val="36"/>
                <w:szCs w:val="21"/>
              </w:rPr>
            </w:pPr>
            <w:r>
              <w:rPr>
                <w:rFonts w:hint="eastAsia" w:cs="Arial" w:asciiTheme="minorEastAsia" w:hAnsiTheme="minorEastAsia"/>
                <w:bCs/>
                <w:kern w:val="36"/>
                <w:szCs w:val="21"/>
              </w:rPr>
              <w:t>PREP阅读增强训练系统以PASS理论为基础，参照DAS博士的PREP（PASS Reading Enhancement Program）设计思想，结合汉语拼音及汉字特点，以一套完整的汉字阅读障碍训练方案为核心内容的软件管理系统。该系统有两个登录端口：教师端和学生端。</w:t>
            </w:r>
          </w:p>
          <w:p>
            <w:pPr>
              <w:rPr>
                <w:rFonts w:cs="Arial" w:asciiTheme="minorEastAsia" w:hAnsiTheme="minorEastAsia"/>
                <w:bCs/>
                <w:kern w:val="36"/>
                <w:szCs w:val="21"/>
              </w:rPr>
            </w:pPr>
            <w:r>
              <w:rPr>
                <w:rFonts w:hint="eastAsia" w:cs="Arial" w:asciiTheme="minorEastAsia" w:hAnsiTheme="minorEastAsia"/>
                <w:bCs/>
                <w:kern w:val="36"/>
                <w:szCs w:val="21"/>
              </w:rPr>
              <w:t>教师端能够帮助特教老师进行学生信息管理、训练过程监控、评估结果和训练结果查询。</w:t>
            </w:r>
          </w:p>
          <w:p>
            <w:pPr>
              <w:rPr>
                <w:rFonts w:cs="Arial" w:asciiTheme="minorEastAsia" w:hAnsiTheme="minorEastAsia"/>
                <w:bCs/>
                <w:kern w:val="36"/>
                <w:szCs w:val="21"/>
              </w:rPr>
            </w:pPr>
            <w:r>
              <w:rPr>
                <w:rFonts w:hint="eastAsia" w:cs="Arial" w:asciiTheme="minorEastAsia" w:hAnsiTheme="minorEastAsia"/>
                <w:bCs/>
                <w:kern w:val="36"/>
                <w:szCs w:val="21"/>
              </w:rPr>
              <w:t>学生端主要包括评估部分（瑞文智力评估、阅读障碍筛查、1-5年级识字量测试）和9大训练方案（窗口排序、字母连线、图形连接、矩阵、相关的记忆集合、移动矩阵、追踪、形状设计、句子检验）。这些训练方案主要是通过23个flash游戏来实现，每个游戏又分2-3个难度水平。</w:t>
            </w:r>
          </w:p>
          <w:p>
            <w:pPr>
              <w:rPr>
                <w:rFonts w:cs="Arial" w:asciiTheme="minorEastAsia" w:hAnsiTheme="minorEastAsia"/>
                <w:bCs/>
                <w:kern w:val="36"/>
                <w:szCs w:val="21"/>
              </w:rPr>
            </w:pPr>
            <w:r>
              <w:rPr>
                <w:rFonts w:hint="eastAsia" w:cs="Arial" w:asciiTheme="minorEastAsia" w:hAnsiTheme="minorEastAsia"/>
                <w:bCs/>
                <w:kern w:val="36"/>
                <w:szCs w:val="21"/>
              </w:rPr>
              <w:t>评估功能：系统可以进行识字量评估、瑞文智力测验、小学生读写障碍测验，测验后自动生成测试报告，主要用于辨别学生存在阅读障碍的原因。</w:t>
            </w:r>
          </w:p>
          <w:p>
            <w:pPr>
              <w:rPr>
                <w:rFonts w:cs="Arial" w:asciiTheme="minorEastAsia" w:hAnsiTheme="minorEastAsia"/>
                <w:bCs/>
                <w:kern w:val="36"/>
                <w:szCs w:val="21"/>
              </w:rPr>
            </w:pPr>
            <w:r>
              <w:rPr>
                <w:rFonts w:hint="eastAsia" w:cs="Arial" w:asciiTheme="minorEastAsia" w:hAnsiTheme="minorEastAsia"/>
                <w:bCs/>
                <w:kern w:val="36"/>
                <w:szCs w:val="21"/>
              </w:rPr>
              <w:t>训练功能：包含9项不同类型的训练任务，每项训练任务由普遍任务与过渡任务组成，而且根据任务难度分不同级别，不允许越级训练。每个训练任务由一系列简单有趣的训练活动组成。这些训练活动可以帮助学生改进和提高作为阅读基础的同时加工和继时加工策略，并促进这些认知加工策略在汉语阅读中的迁移。从而避免汉字阅读技能的直接教学，减轻阅读障碍儿童的学习压力。</w:t>
            </w:r>
          </w:p>
          <w:p>
            <w:pPr>
              <w:rPr>
                <w:rFonts w:cs="Arial" w:asciiTheme="minorEastAsia" w:hAnsiTheme="minorEastAsia"/>
                <w:bCs/>
                <w:kern w:val="36"/>
                <w:szCs w:val="21"/>
              </w:rPr>
            </w:pPr>
            <w:r>
              <w:rPr>
                <w:rFonts w:hint="eastAsia" w:cs="Arial" w:asciiTheme="minorEastAsia" w:hAnsiTheme="minorEastAsia"/>
                <w:bCs/>
                <w:kern w:val="36"/>
                <w:szCs w:val="21"/>
              </w:rPr>
              <w:t>具体训练方案：</w:t>
            </w:r>
          </w:p>
          <w:p>
            <w:pPr>
              <w:rPr>
                <w:rFonts w:cs="Arial" w:asciiTheme="minorEastAsia" w:hAnsiTheme="minorEastAsia"/>
                <w:bCs/>
                <w:kern w:val="36"/>
                <w:szCs w:val="21"/>
              </w:rPr>
            </w:pPr>
            <w:r>
              <w:rPr>
                <w:rFonts w:hint="eastAsia" w:cs="Arial" w:asciiTheme="minorEastAsia" w:hAnsiTheme="minorEastAsia"/>
                <w:bCs/>
                <w:kern w:val="36"/>
                <w:szCs w:val="21"/>
              </w:rPr>
              <w:t>1.窗口排序：分为普遍任务图形窗口排序与过渡任务字母窗口排序，主要锻炼学生按照事物发生的先后顺序进行记忆的能力，并能锻炼注意力。</w:t>
            </w:r>
          </w:p>
          <w:p>
            <w:pPr>
              <w:rPr>
                <w:rFonts w:cs="Arial" w:asciiTheme="minorEastAsia" w:hAnsiTheme="minorEastAsia"/>
                <w:bCs/>
                <w:kern w:val="36"/>
                <w:szCs w:val="21"/>
              </w:rPr>
            </w:pPr>
            <w:r>
              <w:rPr>
                <w:rFonts w:hint="eastAsia" w:cs="Arial" w:asciiTheme="minorEastAsia" w:hAnsiTheme="minorEastAsia"/>
                <w:bCs/>
                <w:kern w:val="36"/>
                <w:szCs w:val="21"/>
              </w:rPr>
              <w:t>2.字母连线：分为普遍任务字母连线与过渡任务拼音连线、偏旁部首连线、汉字连线，主要培养学生抗干扰和分心的能力，锻炼学生根据线索进行视觉搜寻的能力。</w:t>
            </w:r>
          </w:p>
          <w:p>
            <w:pPr>
              <w:rPr>
                <w:rFonts w:cs="Arial" w:asciiTheme="minorEastAsia" w:hAnsiTheme="minorEastAsia"/>
                <w:bCs/>
                <w:kern w:val="36"/>
                <w:szCs w:val="21"/>
              </w:rPr>
            </w:pPr>
            <w:r>
              <w:rPr>
                <w:rFonts w:hint="eastAsia" w:cs="Arial" w:asciiTheme="minorEastAsia" w:hAnsiTheme="minorEastAsia"/>
                <w:bCs/>
                <w:kern w:val="36"/>
                <w:szCs w:val="21"/>
              </w:rPr>
              <w:t>3.图形连接：分为普遍任务连接形状过渡任务连接汉字。主要训练言语表达能力和短时序列记忆能力。</w:t>
            </w:r>
          </w:p>
          <w:p>
            <w:pPr>
              <w:rPr>
                <w:rFonts w:cs="Arial" w:asciiTheme="minorEastAsia" w:hAnsiTheme="minorEastAsia"/>
                <w:bCs/>
                <w:kern w:val="36"/>
                <w:szCs w:val="21"/>
              </w:rPr>
            </w:pPr>
            <w:r>
              <w:rPr>
                <w:rFonts w:hint="eastAsia" w:cs="Arial" w:asciiTheme="minorEastAsia" w:hAnsiTheme="minorEastAsia"/>
                <w:bCs/>
                <w:kern w:val="36"/>
                <w:szCs w:val="21"/>
              </w:rPr>
              <w:t>4.矩阵：分为普遍任务字母矩阵与过渡任务字词矩阵，主要训练记忆广度和位置先后顺序的加工，提高集中注意的能力。</w:t>
            </w:r>
          </w:p>
          <w:p>
            <w:pPr>
              <w:rPr>
                <w:rFonts w:cs="Arial" w:asciiTheme="minorEastAsia" w:hAnsiTheme="minorEastAsia"/>
                <w:bCs/>
                <w:kern w:val="36"/>
                <w:szCs w:val="21"/>
              </w:rPr>
            </w:pPr>
            <w:r>
              <w:rPr>
                <w:rFonts w:hint="eastAsia" w:cs="Arial" w:asciiTheme="minorEastAsia" w:hAnsiTheme="minorEastAsia"/>
                <w:bCs/>
                <w:kern w:val="36"/>
                <w:szCs w:val="21"/>
              </w:rPr>
              <w:t>5.相关的记忆集合：分为普遍任务动物拼图与过渡任务拼音搭配、偏旁部首搭配、词语搭</w:t>
            </w:r>
          </w:p>
          <w:p>
            <w:pPr>
              <w:rPr>
                <w:rFonts w:cs="Arial" w:asciiTheme="minorEastAsia" w:hAnsiTheme="minorEastAsia"/>
                <w:bCs/>
                <w:kern w:val="36"/>
                <w:szCs w:val="21"/>
              </w:rPr>
            </w:pPr>
            <w:r>
              <w:rPr>
                <w:rFonts w:hint="eastAsia" w:cs="Arial" w:asciiTheme="minorEastAsia" w:hAnsiTheme="minorEastAsia"/>
                <w:bCs/>
                <w:kern w:val="36"/>
                <w:szCs w:val="21"/>
              </w:rPr>
              <w:t>配，主要锻炼学生的观察能力和对事物的分析能力。</w:t>
            </w:r>
          </w:p>
          <w:p>
            <w:pPr>
              <w:rPr>
                <w:rFonts w:cs="Arial" w:asciiTheme="minorEastAsia" w:hAnsiTheme="minorEastAsia"/>
                <w:bCs/>
                <w:kern w:val="36"/>
                <w:szCs w:val="21"/>
              </w:rPr>
            </w:pPr>
            <w:r>
              <w:rPr>
                <w:rFonts w:hint="eastAsia" w:cs="Arial" w:asciiTheme="minorEastAsia" w:hAnsiTheme="minorEastAsia"/>
                <w:bCs/>
                <w:kern w:val="36"/>
                <w:szCs w:val="21"/>
              </w:rPr>
              <w:t>6.移动矩阵：分为普遍任务图片排列于过渡任务字母排列汉字排列，主要培养学生有效的记忆策略和对语言规则的掌握能力。</w:t>
            </w:r>
          </w:p>
          <w:p>
            <w:pPr>
              <w:rPr>
                <w:rFonts w:cs="Arial" w:asciiTheme="minorEastAsia" w:hAnsiTheme="minorEastAsia"/>
                <w:bCs/>
                <w:kern w:val="36"/>
                <w:szCs w:val="21"/>
              </w:rPr>
            </w:pPr>
            <w:r>
              <w:rPr>
                <w:rFonts w:hint="eastAsia" w:cs="Arial" w:asciiTheme="minorEastAsia" w:hAnsiTheme="minorEastAsia"/>
                <w:bCs/>
                <w:kern w:val="36"/>
                <w:szCs w:val="21"/>
              </w:rPr>
              <w:t>7.追踪：分为普遍任务路径追踪与过渡任务穿越商贸城，主要锻炼学生目标追踪和查看地图的能力，培养学生分析问题的能力，以及提升生活技能。</w:t>
            </w:r>
          </w:p>
          <w:p>
            <w:pPr>
              <w:rPr>
                <w:rFonts w:cs="Arial" w:asciiTheme="minorEastAsia" w:hAnsiTheme="minorEastAsia"/>
                <w:bCs/>
                <w:kern w:val="36"/>
                <w:szCs w:val="21"/>
              </w:rPr>
            </w:pPr>
            <w:r>
              <w:rPr>
                <w:rFonts w:hint="eastAsia" w:cs="Arial" w:asciiTheme="minorEastAsia" w:hAnsiTheme="minorEastAsia"/>
                <w:bCs/>
                <w:kern w:val="36"/>
                <w:szCs w:val="21"/>
              </w:rPr>
              <w:t>8.形状设计：分为普遍任务形状设计与过渡任务动物排位，主要训练记忆广度，锻炼学生的阅读理解能力，以及培养学生对空间关系的把握能力。</w:t>
            </w:r>
          </w:p>
          <w:p>
            <w:pPr>
              <w:rPr>
                <w:rFonts w:cs="Arial" w:asciiTheme="minorEastAsia" w:hAnsiTheme="minorEastAsia"/>
                <w:bCs/>
                <w:kern w:val="36"/>
                <w:szCs w:val="21"/>
              </w:rPr>
            </w:pPr>
            <w:r>
              <w:rPr>
                <w:rFonts w:hint="eastAsia" w:cs="Arial" w:asciiTheme="minorEastAsia" w:hAnsiTheme="minorEastAsia"/>
                <w:bCs/>
                <w:kern w:val="36"/>
                <w:szCs w:val="21"/>
              </w:rPr>
              <w:t>9.句子矫正：分为普遍任务图片匹配与过渡任务词句匹配，主要锻炼学生注视细节的能力，以及对语义概念和关系的理解能力。</w:t>
            </w:r>
          </w:p>
          <w:p>
            <w:r>
              <w:rPr>
                <w:rFonts w:hint="eastAsia" w:asciiTheme="minorEastAsia" w:hAnsiTheme="minorEastAsia"/>
                <w:szCs w:val="21"/>
              </w:rPr>
              <w:t>32寸</w:t>
            </w:r>
            <w:r>
              <w:rPr>
                <w:rFonts w:asciiTheme="minorEastAsia" w:hAnsiTheme="minorEastAsia"/>
                <w:szCs w:val="21"/>
              </w:rPr>
              <w:t>嵌入式</w:t>
            </w:r>
            <w:r>
              <w:rPr>
                <w:rFonts w:hint="eastAsia" w:asciiTheme="minorEastAsia" w:hAnsiTheme="minorEastAsia"/>
                <w:szCs w:val="21"/>
              </w:rPr>
              <w:t>流线型</w:t>
            </w:r>
            <w:r>
              <w:rPr>
                <w:rFonts w:asciiTheme="minorEastAsia" w:hAnsiTheme="minorEastAsia"/>
                <w:szCs w:val="21"/>
              </w:rPr>
              <w:t>一体</w:t>
            </w:r>
            <w:r>
              <w:rPr>
                <w:rFonts w:hint="eastAsia" w:asciiTheme="minorEastAsia" w:hAnsiTheme="minorEastAsia"/>
                <w:szCs w:val="21"/>
              </w:rPr>
              <w:t>化</w:t>
            </w:r>
            <w:r>
              <w:rPr>
                <w:rFonts w:asciiTheme="minorEastAsia" w:hAnsiTheme="minorEastAsia"/>
                <w:szCs w:val="21"/>
              </w:rPr>
              <w:t>操作台</w:t>
            </w:r>
            <w:r>
              <w:rPr>
                <w:rFonts w:hint="eastAsia" w:asciiTheme="minorEastAsia" w:hAnsiTheme="minorEastAsia"/>
                <w:szCs w:val="21"/>
              </w:rPr>
              <w:t>，配有无线键鼠。</w:t>
            </w:r>
          </w:p>
        </w:tc>
        <w:tc>
          <w:tcPr>
            <w:tcW w:w="735" w:type="dxa"/>
            <w:tcMar>
              <w:top w:w="15" w:type="dxa"/>
              <w:left w:w="15" w:type="dxa"/>
              <w:right w:w="15" w:type="dxa"/>
            </w:tcMar>
            <w:vAlign w:val="center"/>
          </w:tcPr>
          <w:p>
            <w:pPr>
              <w:jc w:val="center"/>
              <w:rPr>
                <w:rFonts w:asciiTheme="minorEastAsia" w:hAnsiTheme="minorEastAsia" w:cstheme="minorEastAsia"/>
              </w:rPr>
            </w:pPr>
          </w:p>
        </w:tc>
        <w:tc>
          <w:tcPr>
            <w:tcW w:w="705" w:type="dxa"/>
            <w:tcMar>
              <w:top w:w="15" w:type="dxa"/>
              <w:left w:w="15" w:type="dxa"/>
              <w:right w:w="15" w:type="dxa"/>
            </w:tcMar>
            <w:vAlign w:val="center"/>
          </w:tcPr>
          <w:p>
            <w:pPr>
              <w:widowControl/>
              <w:adjustRightInd w:val="0"/>
              <w:snapToGrid w:val="0"/>
              <w:jc w:val="center"/>
              <w:textAlignment w:val="center"/>
              <w:rPr>
                <w:rFonts w:asciiTheme="minorEastAsia" w:hAnsiTheme="minorEastAsia" w:cstheme="minorEastAsia"/>
                <w:color w:val="000000"/>
                <w:kern w:val="0"/>
                <w:szCs w:val="21"/>
                <w:lang w:bidi="ar"/>
              </w:rPr>
            </w:pPr>
            <w:r>
              <w:rPr>
                <w:rFonts w:hint="eastAsia" w:asciiTheme="minorEastAsia" w:hAnsiTheme="minorEastAsia" w:cstheme="minorEastAsia"/>
                <w:color w:val="000000"/>
                <w:kern w:val="0"/>
                <w:szCs w:val="21"/>
                <w:lang w:bidi="ar"/>
              </w:rPr>
              <w:t>套</w:t>
            </w:r>
          </w:p>
        </w:tc>
        <w:tc>
          <w:tcPr>
            <w:tcW w:w="705" w:type="dxa"/>
            <w:tcMar>
              <w:top w:w="15" w:type="dxa"/>
              <w:left w:w="15" w:type="dxa"/>
              <w:right w:w="15" w:type="dxa"/>
            </w:tcMar>
            <w:vAlign w:val="center"/>
          </w:tcPr>
          <w:p>
            <w:pPr>
              <w:widowControl/>
              <w:adjustRightInd w:val="0"/>
              <w:snapToGrid w:val="0"/>
              <w:jc w:val="center"/>
              <w:textAlignment w:val="center"/>
              <w:rPr>
                <w:rFonts w:asciiTheme="minorEastAsia" w:hAnsiTheme="minorEastAsia" w:cstheme="minorEastAsia"/>
                <w:color w:val="000000"/>
                <w:kern w:val="0"/>
                <w:szCs w:val="21"/>
                <w:lang w:bidi="ar"/>
              </w:rPr>
            </w:pPr>
            <w:r>
              <w:rPr>
                <w:rFonts w:hint="eastAsia" w:asciiTheme="minorEastAsia" w:hAnsiTheme="minorEastAsia" w:cstheme="minorEastAsia"/>
                <w:color w:val="000000"/>
                <w:kern w:val="0"/>
                <w:szCs w:val="21"/>
                <w:lang w:bidi="ar"/>
              </w:rPr>
              <w:t>1</w:t>
            </w:r>
          </w:p>
        </w:tc>
        <w:tc>
          <w:tcPr>
            <w:tcW w:w="705" w:type="dxa"/>
            <w:tcMar>
              <w:top w:w="15" w:type="dxa"/>
              <w:left w:w="15" w:type="dxa"/>
              <w:right w:w="15" w:type="dxa"/>
            </w:tcMar>
            <w:vAlign w:val="center"/>
          </w:tcPr>
          <w:p>
            <w:pPr>
              <w:widowControl/>
              <w:adjustRightInd w:val="0"/>
              <w:snapToGrid w:val="0"/>
              <w:jc w:val="center"/>
              <w:textAlignment w:val="center"/>
              <w:rPr>
                <w:rFonts w:asciiTheme="minorEastAsia" w:hAnsiTheme="minorEastAsia" w:cstheme="minorEastAsia"/>
                <w:color w:val="000000"/>
                <w:kern w:val="0"/>
                <w:szCs w:val="21"/>
                <w:lang w:bidi="ar"/>
              </w:rPr>
            </w:pPr>
          </w:p>
        </w:tc>
        <w:tc>
          <w:tcPr>
            <w:tcW w:w="1972" w:type="dxa"/>
            <w:gridSpan w:val="2"/>
            <w:tcMar>
              <w:top w:w="15" w:type="dxa"/>
              <w:left w:w="15" w:type="dxa"/>
              <w:right w:w="15" w:type="dxa"/>
            </w:tcMar>
            <w:vAlign w:val="center"/>
          </w:tcPr>
          <w:p>
            <w:pPr>
              <w:adjustRightInd w:val="0"/>
              <w:snapToGrid w:val="0"/>
              <w:jc w:val="left"/>
              <w:rPr>
                <w:rFonts w:ascii="宋体" w:hAnsi="宋体" w:cs="宋体"/>
                <w:color w:val="000000"/>
                <w:szCs w:val="21"/>
              </w:rPr>
            </w:pPr>
            <w:r>
              <w:drawing>
                <wp:inline distT="0" distB="0" distL="0" distR="0">
                  <wp:extent cx="1232535" cy="1695450"/>
                  <wp:effectExtent l="0" t="0" r="571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6"/>
                          <a:stretch>
                            <a:fillRect/>
                          </a:stretch>
                        </pic:blipFill>
                        <pic:spPr>
                          <a:xfrm>
                            <a:off x="0" y="0"/>
                            <a:ext cx="1234136" cy="169761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1" w:type="dxa"/>
          <w:trHeight w:val="692" w:hRule="atLeast"/>
        </w:trPr>
        <w:tc>
          <w:tcPr>
            <w:tcW w:w="14910" w:type="dxa"/>
            <w:gridSpan w:val="9"/>
            <w:shd w:val="clear" w:color="auto" w:fill="auto"/>
            <w:tcMar>
              <w:top w:w="15" w:type="dxa"/>
              <w:left w:w="15" w:type="dxa"/>
              <w:right w:w="15" w:type="dxa"/>
            </w:tcMar>
            <w:vAlign w:val="center"/>
          </w:tcPr>
          <w:p>
            <w:pPr>
              <w:widowControl/>
              <w:adjustRightInd w:val="0"/>
              <w:snapToGrid w:val="0"/>
              <w:jc w:val="center"/>
              <w:textAlignment w:val="center"/>
              <w:rPr>
                <w:rFonts w:cs="宋体" w:asciiTheme="minorEastAsia" w:hAnsiTheme="minorEastAsia"/>
                <w:b/>
                <w:color w:val="000000"/>
                <w:sz w:val="24"/>
                <w:szCs w:val="24"/>
              </w:rPr>
            </w:pPr>
            <w:r>
              <w:rPr>
                <w:rFonts w:hint="eastAsia" w:cs="宋体" w:asciiTheme="minorEastAsia" w:hAnsiTheme="minorEastAsia"/>
                <w:b/>
                <w:color w:val="000000"/>
                <w:sz w:val="24"/>
                <w:szCs w:val="24"/>
              </w:rPr>
              <w:t>合计：</w:t>
            </w:r>
            <w:r>
              <w:rPr>
                <w:rFonts w:hint="eastAsia" w:asciiTheme="minorEastAsia" w:hAnsiTheme="minorEastAsia"/>
                <w:b/>
                <w:sz w:val="24"/>
                <w:szCs w:val="24"/>
                <w:lang w:val="en-US" w:eastAsia="zh-CN"/>
              </w:rPr>
              <w:t xml:space="preserve">      </w:t>
            </w:r>
            <w:r>
              <w:rPr>
                <w:rFonts w:hint="eastAsia" w:asciiTheme="minorEastAsia" w:hAnsiTheme="minorEastAsia"/>
                <w:b/>
                <w:sz w:val="24"/>
                <w:szCs w:val="24"/>
              </w:rPr>
              <w:t>元整</w:t>
            </w:r>
          </w:p>
        </w:tc>
      </w:tr>
    </w:tbl>
    <w:p>
      <w:pPr>
        <w:spacing w:line="360" w:lineRule="auto"/>
        <w:jc w:val="left"/>
        <w:rPr>
          <w:rFonts w:asciiTheme="minorEastAsia" w:hAnsiTheme="minorEastAsia"/>
          <w:sz w:val="24"/>
          <w:szCs w:val="24"/>
        </w:rPr>
      </w:pPr>
    </w:p>
    <w:sectPr>
      <w:footerReference r:id="rId3" w:type="default"/>
      <w:pgSz w:w="16838" w:h="11906" w:orient="landscape"/>
      <w:pgMar w:top="1134" w:right="1474" w:bottom="113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720160"/>
      <w:docPartObj>
        <w:docPartGallery w:val="autotext"/>
      </w:docPartObj>
    </w:sdtPr>
    <w:sdtContent>
      <w:p>
        <w:pPr>
          <w:pStyle w:val="3"/>
          <w:jc w:val="center"/>
        </w:pPr>
        <w:r>
          <w:fldChar w:fldCharType="begin"/>
        </w:r>
        <w:r>
          <w:instrText xml:space="preserve">PAGE   \* MERGEFORMAT</w:instrText>
        </w:r>
        <w:r>
          <w:fldChar w:fldCharType="separate"/>
        </w:r>
        <w:r>
          <w:rPr>
            <w:lang w:val="zh-CN"/>
          </w:rPr>
          <w:t>29</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AF17C3"/>
    <w:multiLevelType w:val="singleLevel"/>
    <w:tmpl w:val="58AF17C3"/>
    <w:lvl w:ilvl="0" w:tentative="0">
      <w:start w:val="1"/>
      <w:numFmt w:val="chineseCounting"/>
      <w:suff w:val="nothing"/>
      <w:lvlText w:val="%1、"/>
      <w:lvlJc w:val="left"/>
    </w:lvl>
  </w:abstractNum>
  <w:abstractNum w:abstractNumId="1">
    <w:nsid w:val="58AF19E5"/>
    <w:multiLevelType w:val="singleLevel"/>
    <w:tmpl w:val="58AF19E5"/>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ljYTMxZGJjYmZhZWYxNmFlNTY4NzdiNGU5ZjllOGQifQ=="/>
  </w:docVars>
  <w:rsids>
    <w:rsidRoot w:val="002C5024"/>
    <w:rsid w:val="00034143"/>
    <w:rsid w:val="000A337F"/>
    <w:rsid w:val="001158F9"/>
    <w:rsid w:val="0015506B"/>
    <w:rsid w:val="001724C5"/>
    <w:rsid w:val="00187808"/>
    <w:rsid w:val="00196E6B"/>
    <w:rsid w:val="001A19E7"/>
    <w:rsid w:val="001B66CF"/>
    <w:rsid w:val="001F5992"/>
    <w:rsid w:val="00217A51"/>
    <w:rsid w:val="00220670"/>
    <w:rsid w:val="002300A9"/>
    <w:rsid w:val="00242C51"/>
    <w:rsid w:val="00273352"/>
    <w:rsid w:val="0027786F"/>
    <w:rsid w:val="002829DE"/>
    <w:rsid w:val="00291A01"/>
    <w:rsid w:val="00297645"/>
    <w:rsid w:val="002C5024"/>
    <w:rsid w:val="00321882"/>
    <w:rsid w:val="003605D0"/>
    <w:rsid w:val="00395ABD"/>
    <w:rsid w:val="003A21EF"/>
    <w:rsid w:val="003A3DBF"/>
    <w:rsid w:val="003C5FE6"/>
    <w:rsid w:val="003E1C0D"/>
    <w:rsid w:val="003E3C27"/>
    <w:rsid w:val="003F788B"/>
    <w:rsid w:val="0042089F"/>
    <w:rsid w:val="0042297A"/>
    <w:rsid w:val="004300D8"/>
    <w:rsid w:val="00430E0C"/>
    <w:rsid w:val="00451B1D"/>
    <w:rsid w:val="004E77BA"/>
    <w:rsid w:val="0050287C"/>
    <w:rsid w:val="00517BAA"/>
    <w:rsid w:val="0058039B"/>
    <w:rsid w:val="00586ADC"/>
    <w:rsid w:val="00592815"/>
    <w:rsid w:val="005958CF"/>
    <w:rsid w:val="005D198D"/>
    <w:rsid w:val="00614623"/>
    <w:rsid w:val="00620DFF"/>
    <w:rsid w:val="00635DBC"/>
    <w:rsid w:val="00657F62"/>
    <w:rsid w:val="0066595C"/>
    <w:rsid w:val="006B5FA3"/>
    <w:rsid w:val="006C1180"/>
    <w:rsid w:val="006E22D9"/>
    <w:rsid w:val="006E7C60"/>
    <w:rsid w:val="007365D6"/>
    <w:rsid w:val="00752980"/>
    <w:rsid w:val="00761D93"/>
    <w:rsid w:val="00790F30"/>
    <w:rsid w:val="007930B8"/>
    <w:rsid w:val="007A6CCF"/>
    <w:rsid w:val="007B6A42"/>
    <w:rsid w:val="007E2F78"/>
    <w:rsid w:val="00802459"/>
    <w:rsid w:val="00845571"/>
    <w:rsid w:val="0085134C"/>
    <w:rsid w:val="008940C1"/>
    <w:rsid w:val="009259D2"/>
    <w:rsid w:val="0095583D"/>
    <w:rsid w:val="009C3BC5"/>
    <w:rsid w:val="00A01EB9"/>
    <w:rsid w:val="00A33FDE"/>
    <w:rsid w:val="00A340C0"/>
    <w:rsid w:val="00A95327"/>
    <w:rsid w:val="00AD2134"/>
    <w:rsid w:val="00B04620"/>
    <w:rsid w:val="00B748DF"/>
    <w:rsid w:val="00B81445"/>
    <w:rsid w:val="00BA03B2"/>
    <w:rsid w:val="00BB4C7A"/>
    <w:rsid w:val="00C1044F"/>
    <w:rsid w:val="00C2175C"/>
    <w:rsid w:val="00C61EAD"/>
    <w:rsid w:val="00CA1FDC"/>
    <w:rsid w:val="00CC3888"/>
    <w:rsid w:val="00CD6A36"/>
    <w:rsid w:val="00D02E4C"/>
    <w:rsid w:val="00D03B29"/>
    <w:rsid w:val="00D101F9"/>
    <w:rsid w:val="00D105CA"/>
    <w:rsid w:val="00D46557"/>
    <w:rsid w:val="00EC3976"/>
    <w:rsid w:val="00ED4B98"/>
    <w:rsid w:val="00EF4A27"/>
    <w:rsid w:val="00F269C0"/>
    <w:rsid w:val="00F606A0"/>
    <w:rsid w:val="00F63ECE"/>
    <w:rsid w:val="00F85F5A"/>
    <w:rsid w:val="086808E2"/>
    <w:rsid w:val="11BF1F2E"/>
    <w:rsid w:val="164D1414"/>
    <w:rsid w:val="16C02240"/>
    <w:rsid w:val="1E194276"/>
    <w:rsid w:val="2E762A6B"/>
    <w:rsid w:val="2FDE42EC"/>
    <w:rsid w:val="37464A11"/>
    <w:rsid w:val="3EE25D86"/>
    <w:rsid w:val="49877436"/>
    <w:rsid w:val="4F3E0247"/>
    <w:rsid w:val="4F94365E"/>
    <w:rsid w:val="4FE35B43"/>
    <w:rsid w:val="62EA65DC"/>
    <w:rsid w:val="679A2617"/>
    <w:rsid w:val="6AA1595F"/>
    <w:rsid w:val="6D731DF3"/>
    <w:rsid w:val="754F247C"/>
    <w:rsid w:val="7CF73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批注框文本 Char"/>
    <w:basedOn w:val="7"/>
    <w:link w:val="2"/>
    <w:semiHidden/>
    <w:qFormat/>
    <w:uiPriority w:val="99"/>
    <w:rPr>
      <w:sz w:val="18"/>
      <w:szCs w:val="18"/>
    </w:rPr>
  </w:style>
  <w:style w:type="character" w:customStyle="1" w:styleId="11">
    <w:name w:val="font0"/>
    <w:qFormat/>
    <w:uiPriority w:val="0"/>
    <w:rPr>
      <w:rFonts w:ascii="Verdana" w:hAnsi="Verdana"/>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29</Pages>
  <Words>26234</Words>
  <Characters>26960</Characters>
  <Lines>200</Lines>
  <Paragraphs>56</Paragraphs>
  <TotalTime>42</TotalTime>
  <ScaleCrop>false</ScaleCrop>
  <LinksUpToDate>false</LinksUpToDate>
  <CharactersWithSpaces>27408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2021-05-18T01:53:00Z</dcterms:created>
  <dc:creator>laixin</dc:creator>
  <cp:lastModifiedBy>TiAmo.</cp:lastModifiedBy>
  <dcterms:modified xsi:type="dcterms:W3CDTF">2022-08-16T08:51:28Z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AF63308F0EC446079416AF019EF01CA6</vt:lpwstr>
  </property>
</Properties>
</file>